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B156" w14:textId="77777777" w:rsidR="0074696E" w:rsidRPr="004C6EEE" w:rsidRDefault="00A65631" w:rsidP="00AD784C">
      <w:pPr>
        <w:pStyle w:val="Spacerparatopoffirstpage"/>
      </w:pPr>
      <w:r>
        <w:rPr>
          <w:lang w:eastAsia="en-AU"/>
        </w:rPr>
        <w:drawing>
          <wp:anchor distT="0" distB="0" distL="114300" distR="114300" simplePos="0" relativeHeight="251657728" behindDoc="1" locked="1" layoutInCell="0" allowOverlap="1" wp14:anchorId="202C6C85" wp14:editId="634BE70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700A2461"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585E280F" w14:textId="77777777" w:rsidTr="001C277E">
        <w:trPr>
          <w:trHeight w:val="1247"/>
        </w:trPr>
        <w:tc>
          <w:tcPr>
            <w:tcW w:w="8046" w:type="dxa"/>
            <w:shd w:val="clear" w:color="auto" w:fill="auto"/>
            <w:vAlign w:val="bottom"/>
          </w:tcPr>
          <w:p w14:paraId="50228BE8" w14:textId="6A5A9FF8" w:rsidR="00AD784C" w:rsidRPr="00161AA0" w:rsidRDefault="007F67BA" w:rsidP="007F67BA">
            <w:pPr>
              <w:pStyle w:val="DHHSmainheading"/>
            </w:pPr>
            <w:r>
              <w:lastRenderedPageBreak/>
              <w:t xml:space="preserve">Funding </w:t>
            </w:r>
            <w:r w:rsidR="00A3067A">
              <w:t>g</w:t>
            </w:r>
            <w:r>
              <w:t>uidelines</w:t>
            </w:r>
          </w:p>
        </w:tc>
      </w:tr>
      <w:tr w:rsidR="00AD784C" w14:paraId="6C82B140" w14:textId="77777777" w:rsidTr="00357B4E">
        <w:trPr>
          <w:trHeight w:hRule="exact" w:val="1162"/>
        </w:trPr>
        <w:tc>
          <w:tcPr>
            <w:tcW w:w="8046" w:type="dxa"/>
            <w:shd w:val="clear" w:color="auto" w:fill="auto"/>
            <w:tcMar>
              <w:top w:w="170" w:type="dxa"/>
              <w:bottom w:w="510" w:type="dxa"/>
            </w:tcMar>
          </w:tcPr>
          <w:p w14:paraId="2F33AD0E" w14:textId="77777777" w:rsidR="00357B4E" w:rsidRPr="00AD784C" w:rsidRDefault="007243D8" w:rsidP="007F67BA">
            <w:pPr>
              <w:pStyle w:val="DHHSmainsubheading"/>
              <w:rPr>
                <w:szCs w:val="28"/>
              </w:rPr>
            </w:pPr>
            <w:r>
              <w:rPr>
                <w:szCs w:val="28"/>
              </w:rPr>
              <w:t>Empower Youth</w:t>
            </w:r>
            <w:r w:rsidR="007F67BA">
              <w:rPr>
                <w:szCs w:val="28"/>
              </w:rPr>
              <w:t xml:space="preserve"> initiative</w:t>
            </w:r>
          </w:p>
        </w:tc>
      </w:tr>
    </w:tbl>
    <w:p w14:paraId="6CD6C2CF" w14:textId="77777777" w:rsidR="007F67BA" w:rsidRDefault="007F67BA" w:rsidP="000A6666">
      <w:pPr>
        <w:pStyle w:val="DHHSTOCheadingfactsheet"/>
        <w:sectPr w:rsidR="007F67BA" w:rsidSect="007F67BA">
          <w:type w:val="continuous"/>
          <w:pgSz w:w="11906" w:h="16838"/>
          <w:pgMar w:top="1134" w:right="1304" w:bottom="1134" w:left="1304" w:header="454" w:footer="510" w:gutter="0"/>
          <w:pgNumType w:start="0"/>
          <w:cols w:space="720"/>
          <w:docGrid w:linePitch="360"/>
        </w:sectPr>
      </w:pPr>
    </w:p>
    <w:p w14:paraId="3EB9EF68" w14:textId="71258A70" w:rsidR="00476974" w:rsidRPr="00476974" w:rsidRDefault="00476974" w:rsidP="006C5B40">
      <w:pPr>
        <w:pStyle w:val="DHHSbody"/>
        <w:spacing w:before="800" w:after="2400"/>
        <w:ind w:left="-851" w:right="-624"/>
        <w:rPr>
          <w:lang w:eastAsia="en-AU"/>
        </w:rPr>
        <w:sectPr w:rsidR="00476974" w:rsidRPr="00476974" w:rsidSect="00476974">
          <w:type w:val="continuous"/>
          <w:pgSz w:w="11906" w:h="16838"/>
          <w:pgMar w:top="1134" w:right="1304" w:bottom="1134" w:left="1304" w:header="454" w:footer="510" w:gutter="0"/>
          <w:pgNumType w:start="0"/>
          <w:cols w:space="720"/>
          <w:docGrid w:linePitch="360"/>
        </w:sectPr>
      </w:pPr>
    </w:p>
    <w:p w14:paraId="350003CC" w14:textId="68ABE5B2" w:rsidR="00663D3E" w:rsidRDefault="00663D3E" w:rsidP="00663D3E">
      <w:pPr>
        <w:pStyle w:val="Heading1"/>
        <w:ind w:left="-567" w:right="-625"/>
        <w:sectPr w:rsidR="00663D3E" w:rsidSect="006C5B40">
          <w:type w:val="continuous"/>
          <w:pgSz w:w="11906" w:h="16838"/>
          <w:pgMar w:top="1134" w:right="1304" w:bottom="1134" w:left="1304" w:header="454" w:footer="510" w:gutter="0"/>
          <w:pgNumType w:start="0"/>
          <w:cols w:space="720"/>
          <w:docGrid w:linePitch="360"/>
        </w:sectPr>
      </w:pPr>
      <w:r>
        <w:rPr>
          <w:noProof/>
          <w:lang w:eastAsia="en-AU"/>
        </w:rPr>
        <w:lastRenderedPageBreak/>
        <w:drawing>
          <wp:inline distT="0" distB="0" distL="0" distR="0" wp14:anchorId="2D1621DA" wp14:editId="4B2636BE">
            <wp:extent cx="6705703" cy="3657600"/>
            <wp:effectExtent l="0" t="0" r="0" b="0"/>
            <wp:docPr id="5" name="Picture 5" descr="Word cloud showing themes of the Empower Youth initiiative, e.g. support, community, participation, health, well-being, aims, engagement, employ, pathways, policy, provider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3902" cy="3667527"/>
                    </a:xfrm>
                    <a:prstGeom prst="rect">
                      <a:avLst/>
                    </a:prstGeom>
                    <a:noFill/>
                    <a:ln>
                      <a:noFill/>
                    </a:ln>
                  </pic:spPr>
                </pic:pic>
              </a:graphicData>
            </a:graphic>
          </wp:inline>
        </w:drawing>
      </w:r>
    </w:p>
    <w:p w14:paraId="2D27CBC5" w14:textId="770C7C0D" w:rsidR="00663D3E" w:rsidRDefault="00663D3E" w:rsidP="00A21ABA">
      <w:pPr>
        <w:pStyle w:val="Heading1"/>
        <w:sectPr w:rsidR="00663D3E" w:rsidSect="0016156E">
          <w:type w:val="continuous"/>
          <w:pgSz w:w="11906" w:h="16838"/>
          <w:pgMar w:top="1134" w:right="1304" w:bottom="1134" w:left="1304" w:header="454" w:footer="510" w:gutter="0"/>
          <w:pgNumType w:start="0"/>
          <w:cols w:num="2" w:space="720"/>
          <w:docGrid w:linePitch="360"/>
        </w:sectPr>
      </w:pPr>
    </w:p>
    <w:p w14:paraId="7DF49873" w14:textId="483CF05C" w:rsidR="007F67BA" w:rsidRPr="00F9526E" w:rsidRDefault="00A3067A" w:rsidP="00A21ABA">
      <w:pPr>
        <w:pStyle w:val="Heading1"/>
      </w:pPr>
      <w:r>
        <w:lastRenderedPageBreak/>
        <w:t>Minister’s m</w:t>
      </w:r>
      <w:r w:rsidR="007F67BA" w:rsidRPr="00F9526E">
        <w:t>essage</w:t>
      </w:r>
    </w:p>
    <w:p w14:paraId="4FCC4894" w14:textId="77777777" w:rsidR="007F67BA" w:rsidRDefault="00A65631" w:rsidP="007F67BA">
      <w:pPr>
        <w:pStyle w:val="DHHSbodynospace"/>
      </w:pPr>
      <w:r>
        <w:rPr>
          <w:noProof/>
          <w:lang w:eastAsia="en-AU"/>
        </w:rPr>
        <w:drawing>
          <wp:inline distT="0" distB="0" distL="0" distR="0" wp14:anchorId="73EAB181" wp14:editId="4D6B29B1">
            <wp:extent cx="1876097" cy="1253422"/>
            <wp:effectExtent l="0" t="0" r="0" b="4445"/>
            <wp:docPr id="1" name="Picture 1" descr="Minister for Youth Affairs, Jenny Mikakos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012" cy="1254033"/>
                    </a:xfrm>
                    <a:prstGeom prst="rect">
                      <a:avLst/>
                    </a:prstGeom>
                    <a:noFill/>
                    <a:ln>
                      <a:noFill/>
                    </a:ln>
                  </pic:spPr>
                </pic:pic>
              </a:graphicData>
            </a:graphic>
          </wp:inline>
        </w:drawing>
      </w:r>
    </w:p>
    <w:p w14:paraId="5D625D3A" w14:textId="1045ED57" w:rsidR="0079181B" w:rsidRDefault="0079181B" w:rsidP="006C5B40">
      <w:pPr>
        <w:pStyle w:val="DHHSbodyaftertablefigure"/>
      </w:pPr>
      <w:r>
        <w:t xml:space="preserve">Supporting young people and investing in initiatives that enhance their social, community and economic opportunities is a priority for the </w:t>
      </w:r>
      <w:r w:rsidR="00BE4738">
        <w:t xml:space="preserve">Andrews </w:t>
      </w:r>
      <w:proofErr w:type="spellStart"/>
      <w:r w:rsidR="00BE4738">
        <w:t>Labor</w:t>
      </w:r>
      <w:proofErr w:type="spellEnd"/>
      <w:r w:rsidR="00BE4738">
        <w:t xml:space="preserve"> </w:t>
      </w:r>
      <w:r>
        <w:t xml:space="preserve">Government. </w:t>
      </w:r>
    </w:p>
    <w:p w14:paraId="219F521D" w14:textId="118ED0DC" w:rsidR="0079181B" w:rsidRDefault="0079181B" w:rsidP="006C5B40">
      <w:pPr>
        <w:pStyle w:val="DHHSbody"/>
      </w:pPr>
      <w:r>
        <w:t xml:space="preserve">We are taking action in a number of areas to improve opportunities and outcomes for young people through the Roadmap to Reform: </w:t>
      </w:r>
      <w:r w:rsidR="0006782C">
        <w:t>s</w:t>
      </w:r>
      <w:r>
        <w:t>tron</w:t>
      </w:r>
      <w:r w:rsidR="000137F7">
        <w:t>g</w:t>
      </w:r>
      <w:r w:rsidR="0006782C">
        <w:t xml:space="preserve"> families, safe children</w:t>
      </w:r>
      <w:r>
        <w:t xml:space="preserve">; the Education State; </w:t>
      </w:r>
      <w:r w:rsidR="000137F7">
        <w:t>the Back to Work s</w:t>
      </w:r>
      <w:r>
        <w:t xml:space="preserve">cheme and </w:t>
      </w:r>
      <w:r w:rsidR="0006782C">
        <w:t>our response to the recommendations of the Royal Commission into Family Violence.</w:t>
      </w:r>
    </w:p>
    <w:p w14:paraId="781DE66B" w14:textId="6C74B5C9" w:rsidR="0079181B" w:rsidRDefault="00A45124" w:rsidP="006C5B40">
      <w:pPr>
        <w:pStyle w:val="DHHSbody"/>
      </w:pPr>
      <w:r>
        <w:t xml:space="preserve">Through our Youth Policy: </w:t>
      </w:r>
      <w:r w:rsidRPr="007D09C6">
        <w:rPr>
          <w:i/>
        </w:rPr>
        <w:t xml:space="preserve">Building Stronger Youth Engagement in Victoria </w:t>
      </w:r>
      <w:r>
        <w:t xml:space="preserve">the Andrews </w:t>
      </w:r>
      <w:proofErr w:type="spellStart"/>
      <w:r>
        <w:t>Labor</w:t>
      </w:r>
      <w:proofErr w:type="spellEnd"/>
      <w:r w:rsidR="0079181B" w:rsidRPr="00A56DFC">
        <w:t xml:space="preserve"> Government </w:t>
      </w:r>
      <w:r>
        <w:t xml:space="preserve">is ensuring </w:t>
      </w:r>
      <w:r w:rsidR="0079181B">
        <w:t xml:space="preserve">every young person </w:t>
      </w:r>
      <w:r>
        <w:t xml:space="preserve">has the </w:t>
      </w:r>
      <w:r w:rsidR="0079181B">
        <w:t xml:space="preserve">opportunities and support they need to reach their </w:t>
      </w:r>
      <w:r w:rsidR="0065345E">
        <w:t xml:space="preserve">full </w:t>
      </w:r>
      <w:r w:rsidR="0079181B">
        <w:t xml:space="preserve">potential.  </w:t>
      </w:r>
    </w:p>
    <w:p w14:paraId="3BF93A31" w14:textId="74D63E0C" w:rsidR="000137F7" w:rsidRDefault="0079181B" w:rsidP="006C5B40">
      <w:pPr>
        <w:pStyle w:val="DHHSbody"/>
      </w:pPr>
      <w:r>
        <w:t xml:space="preserve">Due to a range of circumstances, some young people become disconnected from family, education and community and require more intensive and tailored support to achieve their goals and enhance their life outcomes. </w:t>
      </w:r>
    </w:p>
    <w:p w14:paraId="3ECC36AB" w14:textId="546ED954" w:rsidR="0006782C" w:rsidRDefault="00984F86" w:rsidP="006C5B40">
      <w:pPr>
        <w:pStyle w:val="DHHSbody"/>
      </w:pPr>
      <w:r>
        <w:lastRenderedPageBreak/>
        <w:t xml:space="preserve">In the first stage of the Empower Youth program </w:t>
      </w:r>
      <w:r w:rsidR="00A45124">
        <w:t>we</w:t>
      </w:r>
      <w:r w:rsidR="0069236A">
        <w:t xml:space="preserve"> funded eight organisations </w:t>
      </w:r>
      <w:r w:rsidR="0079181B">
        <w:t xml:space="preserve">to work with </w:t>
      </w:r>
      <w:r w:rsidR="0006782C">
        <w:t xml:space="preserve">vulnerable </w:t>
      </w:r>
      <w:r w:rsidR="0079181B">
        <w:t xml:space="preserve">young people </w:t>
      </w:r>
      <w:r w:rsidR="0006782C">
        <w:t>at risk of disengagement</w:t>
      </w:r>
      <w:r w:rsidR="00071F22">
        <w:t>, to</w:t>
      </w:r>
      <w:r w:rsidR="0006782C">
        <w:t xml:space="preserve"> strengthen their health and well-being, their connection to community, their </w:t>
      </w:r>
      <w:r w:rsidR="0079181B">
        <w:t xml:space="preserve">engagement in education and training and </w:t>
      </w:r>
      <w:r w:rsidR="0006782C">
        <w:t xml:space="preserve">their </w:t>
      </w:r>
      <w:r w:rsidR="0079181B">
        <w:t>pathways</w:t>
      </w:r>
      <w:r w:rsidR="0006782C">
        <w:t xml:space="preserve"> to employment. </w:t>
      </w:r>
    </w:p>
    <w:p w14:paraId="3B5A255F" w14:textId="00CCBECB" w:rsidR="007709DF" w:rsidRDefault="0069236A" w:rsidP="006C5B40">
      <w:pPr>
        <w:pStyle w:val="DHHSbody"/>
      </w:pPr>
      <w:r>
        <w:t xml:space="preserve">These projects operate within </w:t>
      </w:r>
      <w:r w:rsidR="008055D5">
        <w:t>Ballarat,</w:t>
      </w:r>
      <w:r w:rsidR="00DC5904">
        <w:t xml:space="preserve"> </w:t>
      </w:r>
      <w:proofErr w:type="spellStart"/>
      <w:r w:rsidR="00DC5904">
        <w:t>Brimbank</w:t>
      </w:r>
      <w:proofErr w:type="spellEnd"/>
      <w:r w:rsidR="00DC5904">
        <w:t>,</w:t>
      </w:r>
      <w:r w:rsidR="008055D5">
        <w:t xml:space="preserve"> Casey,</w:t>
      </w:r>
      <w:r w:rsidR="00B40315">
        <w:t xml:space="preserve"> Danden</w:t>
      </w:r>
      <w:r w:rsidR="0065345E">
        <w:t>ong, Frankston, Greater Geelong, Hume, Mornington Peninsula, Morwell and Wyndham.</w:t>
      </w:r>
    </w:p>
    <w:p w14:paraId="0C5892E5" w14:textId="09FE03CA" w:rsidR="007709DF" w:rsidRDefault="0069236A" w:rsidP="006C5B40">
      <w:pPr>
        <w:pStyle w:val="DHHSbody"/>
      </w:pPr>
      <w:r>
        <w:t xml:space="preserve">In stage two of </w:t>
      </w:r>
      <w:r w:rsidR="007709DF">
        <w:t>the Empower Youth program, we are investing $</w:t>
      </w:r>
      <w:r w:rsidR="00CB642B">
        <w:t>2</w:t>
      </w:r>
      <w:r w:rsidR="00BE3055">
        <w:t xml:space="preserve"> </w:t>
      </w:r>
      <w:r w:rsidR="007709DF">
        <w:t>million over four years</w:t>
      </w:r>
      <w:r w:rsidR="00984F86">
        <w:t xml:space="preserve"> (2018</w:t>
      </w:r>
      <w:r w:rsidR="00C44154">
        <w:t>–</w:t>
      </w:r>
      <w:r w:rsidR="00984F86">
        <w:t>2022)</w:t>
      </w:r>
      <w:r w:rsidR="007709DF">
        <w:t xml:space="preserve">, to </w:t>
      </w:r>
      <w:r>
        <w:t>fund further projects in areas of high priority.</w:t>
      </w:r>
      <w:r w:rsidR="007709DF">
        <w:t xml:space="preserve"> </w:t>
      </w:r>
    </w:p>
    <w:p w14:paraId="3D080574" w14:textId="77777777" w:rsidR="0006782C" w:rsidRDefault="007709DF" w:rsidP="006C5B40">
      <w:pPr>
        <w:pStyle w:val="DHHSbody"/>
      </w:pPr>
      <w:r>
        <w:t xml:space="preserve">The </w:t>
      </w:r>
      <w:r w:rsidR="0006782C">
        <w:t>development, design and delivery of local Empower Youth programs will</w:t>
      </w:r>
      <w:r w:rsidR="00A90250">
        <w:t xml:space="preserve"> continue </w:t>
      </w:r>
      <w:r>
        <w:t xml:space="preserve">to </w:t>
      </w:r>
      <w:r w:rsidR="0006782C">
        <w:t>directly engage young people t</w:t>
      </w:r>
      <w:r w:rsidR="00633A9A">
        <w:t>o</w:t>
      </w:r>
      <w:r w:rsidR="0006782C">
        <w:t xml:space="preserve"> ensure that the program meets their </w:t>
      </w:r>
      <w:r w:rsidR="00633A9A">
        <w:t>goals and circumstances.</w:t>
      </w:r>
    </w:p>
    <w:p w14:paraId="77C5F7B2" w14:textId="77777777" w:rsidR="00633A9A" w:rsidRPr="00A3067A" w:rsidRDefault="0079181B" w:rsidP="006C5B40">
      <w:pPr>
        <w:pStyle w:val="DHHSbody"/>
      </w:pPr>
      <w:r w:rsidRPr="00A3067A">
        <w:t xml:space="preserve">I </w:t>
      </w:r>
      <w:r w:rsidR="00633A9A" w:rsidRPr="00A3067A">
        <w:t>encourage local government and community organisations</w:t>
      </w:r>
      <w:r w:rsidR="00F95563" w:rsidRPr="00A3067A">
        <w:t xml:space="preserve">, </w:t>
      </w:r>
      <w:r w:rsidR="00633A9A" w:rsidRPr="00A3067A">
        <w:t xml:space="preserve">in </w:t>
      </w:r>
      <w:r w:rsidR="007709DF" w:rsidRPr="00A3067A">
        <w:t xml:space="preserve">the </w:t>
      </w:r>
      <w:r w:rsidR="00633A9A" w:rsidRPr="00A3067A">
        <w:t xml:space="preserve">priority </w:t>
      </w:r>
      <w:r w:rsidR="0069236A" w:rsidRPr="00A3067A">
        <w:t>areas we are targeting</w:t>
      </w:r>
      <w:r w:rsidR="00F95563" w:rsidRPr="00A3067A">
        <w:t>,</w:t>
      </w:r>
      <w:r w:rsidR="00633A9A" w:rsidRPr="00A3067A">
        <w:t xml:space="preserve"> to apply for funding to deliver</w:t>
      </w:r>
      <w:r w:rsidR="00984F86" w:rsidRPr="00A3067A">
        <w:t xml:space="preserve"> the second stage of</w:t>
      </w:r>
      <w:r w:rsidR="00633A9A" w:rsidRPr="00A3067A">
        <w:t xml:space="preserve"> this exciting program. </w:t>
      </w:r>
    </w:p>
    <w:p w14:paraId="2F3A5A5A" w14:textId="77777777" w:rsidR="00C44154" w:rsidRDefault="00633A9A" w:rsidP="006C5B40">
      <w:pPr>
        <w:pStyle w:val="DHHSbody"/>
      </w:pPr>
      <w:r w:rsidRPr="00A3067A">
        <w:t xml:space="preserve">I look forward </w:t>
      </w:r>
      <w:r w:rsidR="004349C1" w:rsidRPr="00A3067A">
        <w:t xml:space="preserve">to </w:t>
      </w:r>
      <w:r w:rsidR="0079181B" w:rsidRPr="00A3067A">
        <w:t>seeing the innovative</w:t>
      </w:r>
      <w:r w:rsidR="00D030EB" w:rsidRPr="00A3067A">
        <w:t xml:space="preserve"> and engaging initiatives</w:t>
      </w:r>
      <w:r w:rsidR="0079181B">
        <w:t xml:space="preserve"> that are developed with young people to </w:t>
      </w:r>
      <w:r w:rsidR="00F95563">
        <w:t xml:space="preserve">empower </w:t>
      </w:r>
      <w:r w:rsidR="0079181B">
        <w:t xml:space="preserve">them </w:t>
      </w:r>
      <w:r w:rsidR="00D030EB">
        <w:t>to realise</w:t>
      </w:r>
      <w:r w:rsidR="0079181B">
        <w:t xml:space="preserve"> their aspirations.</w:t>
      </w:r>
      <w:r w:rsidR="00C44154" w:rsidDel="00C44154">
        <w:t xml:space="preserve"> </w:t>
      </w:r>
    </w:p>
    <w:p w14:paraId="232B3EEC" w14:textId="77777777" w:rsidR="00C44154" w:rsidRDefault="00C44154" w:rsidP="007F67BA">
      <w:pPr>
        <w:pStyle w:val="DHHSbodynospace"/>
      </w:pPr>
    </w:p>
    <w:p w14:paraId="750CBA28" w14:textId="77777777" w:rsidR="00A3067A" w:rsidRDefault="00A3067A" w:rsidP="007F67BA">
      <w:pPr>
        <w:pStyle w:val="DHHSbodynospace"/>
      </w:pPr>
      <w:bookmarkStart w:id="0" w:name="_GoBack"/>
      <w:bookmarkEnd w:id="0"/>
    </w:p>
    <w:p w14:paraId="756F08E6" w14:textId="77777777" w:rsidR="007F67BA" w:rsidRPr="006C5B40" w:rsidRDefault="0079181B" w:rsidP="006C5B40">
      <w:pPr>
        <w:pStyle w:val="DHHSbodynospace"/>
        <w:rPr>
          <w:b/>
        </w:rPr>
      </w:pPr>
      <w:r w:rsidRPr="006C5B40">
        <w:rPr>
          <w:b/>
        </w:rPr>
        <w:t>J</w:t>
      </w:r>
      <w:r w:rsidR="007F67BA" w:rsidRPr="006C5B40">
        <w:rPr>
          <w:b/>
        </w:rPr>
        <w:t xml:space="preserve">enny </w:t>
      </w:r>
      <w:proofErr w:type="spellStart"/>
      <w:r w:rsidR="007F67BA" w:rsidRPr="006C5B40">
        <w:rPr>
          <w:b/>
        </w:rPr>
        <w:t>Mikakos</w:t>
      </w:r>
      <w:proofErr w:type="spellEnd"/>
      <w:r w:rsidR="007F67BA" w:rsidRPr="006C5B40">
        <w:rPr>
          <w:b/>
        </w:rPr>
        <w:t xml:space="preserve"> MP</w:t>
      </w:r>
    </w:p>
    <w:p w14:paraId="3FB551AC" w14:textId="77777777" w:rsidR="007F67BA" w:rsidRPr="006C5B40" w:rsidRDefault="007F67BA" w:rsidP="006C5B40">
      <w:pPr>
        <w:pStyle w:val="DHHSbodynospace"/>
        <w:rPr>
          <w:b/>
        </w:rPr>
      </w:pPr>
      <w:r w:rsidRPr="006C5B40">
        <w:rPr>
          <w:b/>
        </w:rPr>
        <w:t>Minister for Youth Affairs</w:t>
      </w:r>
    </w:p>
    <w:p w14:paraId="2A0AFF8A" w14:textId="77777777" w:rsidR="007F67BA" w:rsidRDefault="007F67BA" w:rsidP="007F67BA"/>
    <w:p w14:paraId="02FA12A0" w14:textId="77777777" w:rsidR="007F67BA" w:rsidRPr="00320632" w:rsidRDefault="007F67BA" w:rsidP="007F67BA">
      <w:pPr>
        <w:sectPr w:rsidR="007F67BA" w:rsidRPr="00320632" w:rsidSect="006C5B40">
          <w:footerReference w:type="default" r:id="rId12"/>
          <w:pgSz w:w="11906" w:h="16838"/>
          <w:pgMar w:top="1134" w:right="1304" w:bottom="1134" w:left="1304" w:header="454" w:footer="510" w:gutter="0"/>
          <w:pgNumType w:start="2"/>
          <w:cols w:num="2" w:space="720"/>
          <w:docGrid w:linePitch="360"/>
        </w:sectPr>
      </w:pPr>
    </w:p>
    <w:p w14:paraId="4EA92E29" w14:textId="77777777" w:rsidR="007F67BA" w:rsidRDefault="007F67BA" w:rsidP="006C5B40">
      <w:pPr>
        <w:pStyle w:val="Heading1"/>
        <w:spacing w:before="0"/>
        <w:rPr>
          <w:b/>
        </w:rPr>
      </w:pPr>
      <w:r>
        <w:lastRenderedPageBreak/>
        <w:br w:type="page"/>
      </w:r>
      <w:r w:rsidRPr="00B02293">
        <w:lastRenderedPageBreak/>
        <w:t xml:space="preserve">What is </w:t>
      </w:r>
      <w:r w:rsidR="007243D8">
        <w:t>Empower Youth</w:t>
      </w:r>
      <w:r w:rsidRPr="00B02293">
        <w:t>?</w:t>
      </w:r>
    </w:p>
    <w:p w14:paraId="4B5CB0EA" w14:textId="2F62F194" w:rsidR="0079181B" w:rsidRDefault="007F67BA" w:rsidP="0079181B">
      <w:pPr>
        <w:pStyle w:val="DHHSbody"/>
      </w:pPr>
      <w:r>
        <w:t xml:space="preserve">The </w:t>
      </w:r>
      <w:r w:rsidR="007243D8">
        <w:t>Empower Youth</w:t>
      </w:r>
      <w:r>
        <w:t xml:space="preserve"> program requires </w:t>
      </w:r>
      <w:r w:rsidR="004E3C41">
        <w:t xml:space="preserve">funded </w:t>
      </w:r>
      <w:r w:rsidR="00D030EB">
        <w:t>organisations</w:t>
      </w:r>
      <w:r w:rsidR="00812B76">
        <w:t xml:space="preserve"> </w:t>
      </w:r>
      <w:r>
        <w:t>to</w:t>
      </w:r>
      <w:r w:rsidR="0079181B">
        <w:t xml:space="preserve"> </w:t>
      </w:r>
      <w:r w:rsidR="00870CFF" w:rsidRPr="00E46B52">
        <w:t>undertake an innovative</w:t>
      </w:r>
      <w:r w:rsidR="00633A9A">
        <w:t xml:space="preserve"> </w:t>
      </w:r>
      <w:r w:rsidR="00525685">
        <w:t xml:space="preserve">approach </w:t>
      </w:r>
      <w:r w:rsidR="00E54503">
        <w:t xml:space="preserve">to </w:t>
      </w:r>
      <w:r w:rsidR="00BD5D1E">
        <w:t xml:space="preserve">designing and delivering a program that </w:t>
      </w:r>
      <w:r w:rsidR="00633A9A">
        <w:t>strengthen</w:t>
      </w:r>
      <w:r w:rsidR="00BD5D1E">
        <w:t>s</w:t>
      </w:r>
      <w:r w:rsidR="00633A9A">
        <w:t xml:space="preserve"> </w:t>
      </w:r>
      <w:r w:rsidR="0079181B" w:rsidRPr="00637696">
        <w:t>the health and well</w:t>
      </w:r>
      <w:r w:rsidR="00633A9A">
        <w:t>-</w:t>
      </w:r>
      <w:r w:rsidR="0079181B" w:rsidRPr="00637696">
        <w:t>being</w:t>
      </w:r>
      <w:r w:rsidR="00BD5D1E">
        <w:t xml:space="preserve"> of young people; t</w:t>
      </w:r>
      <w:r w:rsidR="000B4A89">
        <w:t xml:space="preserve">heir </w:t>
      </w:r>
      <w:r w:rsidR="00BD5D1E">
        <w:t xml:space="preserve">participation </w:t>
      </w:r>
      <w:r w:rsidR="00633A9A">
        <w:t xml:space="preserve">in </w:t>
      </w:r>
      <w:r w:rsidR="0079181B" w:rsidRPr="00637696">
        <w:t>community</w:t>
      </w:r>
      <w:r w:rsidR="00F95563">
        <w:t>;</w:t>
      </w:r>
      <w:r w:rsidR="0079181B" w:rsidRPr="00637696">
        <w:t xml:space="preserve"> </w:t>
      </w:r>
      <w:r w:rsidR="000B4A89">
        <w:t xml:space="preserve">their </w:t>
      </w:r>
      <w:r w:rsidR="00633A9A">
        <w:t xml:space="preserve">engagement </w:t>
      </w:r>
      <w:r w:rsidR="0079181B" w:rsidRPr="00637696">
        <w:t>in education and training</w:t>
      </w:r>
      <w:r w:rsidR="00F95563">
        <w:t>;</w:t>
      </w:r>
      <w:r w:rsidR="0079181B" w:rsidRPr="00637696">
        <w:t xml:space="preserve"> and </w:t>
      </w:r>
      <w:r w:rsidR="000B4A89">
        <w:t xml:space="preserve">their </w:t>
      </w:r>
      <w:r w:rsidR="00633A9A">
        <w:t xml:space="preserve">pathways to employment. </w:t>
      </w:r>
    </w:p>
    <w:p w14:paraId="02BCA05C" w14:textId="7A4C650E" w:rsidR="00812B76" w:rsidRDefault="00812B76" w:rsidP="0079181B">
      <w:pPr>
        <w:pStyle w:val="DHHSbody"/>
      </w:pPr>
      <w:r>
        <w:t xml:space="preserve">Each </w:t>
      </w:r>
      <w:r w:rsidR="00D030EB">
        <w:t>organisation</w:t>
      </w:r>
      <w:r>
        <w:t xml:space="preserve"> must </w:t>
      </w:r>
      <w:r w:rsidR="00633A9A">
        <w:t xml:space="preserve">engage </w:t>
      </w:r>
      <w:r>
        <w:t>young people in the</w:t>
      </w:r>
      <w:r w:rsidR="001728F0">
        <w:t xml:space="preserve"> </w:t>
      </w:r>
      <w:r w:rsidR="00633A9A">
        <w:t xml:space="preserve">development and </w:t>
      </w:r>
      <w:r>
        <w:t>design of the</w:t>
      </w:r>
      <w:r w:rsidR="00633A9A">
        <w:t xml:space="preserve"> Empower Youth program. In addition</w:t>
      </w:r>
      <w:r w:rsidR="00F95563">
        <w:t>,</w:t>
      </w:r>
      <w:r w:rsidR="00633A9A">
        <w:t xml:space="preserve"> </w:t>
      </w:r>
      <w:r>
        <w:t>young people must be involved in the decision</w:t>
      </w:r>
      <w:r w:rsidR="00633A9A">
        <w:t>-</w:t>
      </w:r>
      <w:r>
        <w:t xml:space="preserve">making processes related to their aspirational plan and the support they receive in each of the four areas </w:t>
      </w:r>
      <w:r w:rsidR="00633A9A">
        <w:t xml:space="preserve">outlined </w:t>
      </w:r>
      <w:r>
        <w:t xml:space="preserve">below. </w:t>
      </w:r>
    </w:p>
    <w:p w14:paraId="1960A55E" w14:textId="77777777" w:rsidR="00870CFF" w:rsidRDefault="00A65631" w:rsidP="00A21ABA">
      <w:pPr>
        <w:pStyle w:val="DHHSbody"/>
      </w:pPr>
      <w:r>
        <w:rPr>
          <w:noProof/>
          <w:lang w:eastAsia="en-AU"/>
        </w:rPr>
        <w:drawing>
          <wp:inline distT="0" distB="0" distL="0" distR="0" wp14:anchorId="15958395" wp14:editId="26D7F1CB">
            <wp:extent cx="3094075" cy="2600253"/>
            <wp:effectExtent l="0" t="0" r="0" b="0"/>
            <wp:docPr id="2" name="Picture 2" descr="This figure shows the decision making process related to their aspirational plan. This includes well-being, community involvement, career pathways and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602" cy="2604057"/>
                    </a:xfrm>
                    <a:prstGeom prst="rect">
                      <a:avLst/>
                    </a:prstGeom>
                    <a:noFill/>
                    <a:ln>
                      <a:noFill/>
                    </a:ln>
                  </pic:spPr>
                </pic:pic>
              </a:graphicData>
            </a:graphic>
          </wp:inline>
        </w:drawing>
      </w:r>
    </w:p>
    <w:p w14:paraId="2BB4C69E" w14:textId="77777777" w:rsidR="00633A9A" w:rsidRDefault="00633A9A" w:rsidP="00633A9A">
      <w:pPr>
        <w:pStyle w:val="DHHSbody"/>
      </w:pPr>
      <w:r>
        <w:t xml:space="preserve">Successful organisations will be funded to engage youth workers to broker local partnerships, undertake outreach and provide intensive, coordinated support for vulnerable young people. </w:t>
      </w:r>
    </w:p>
    <w:p w14:paraId="5134601B" w14:textId="77777777" w:rsidR="00633A9A" w:rsidRDefault="00633A9A" w:rsidP="00633A9A">
      <w:pPr>
        <w:pStyle w:val="DHHSbody"/>
      </w:pPr>
      <w:r>
        <w:t xml:space="preserve">Organisations can employ </w:t>
      </w:r>
      <w:r w:rsidRPr="004D11C2">
        <w:t xml:space="preserve">youth workers directly, or </w:t>
      </w:r>
      <w:r>
        <w:t xml:space="preserve">employ one </w:t>
      </w:r>
      <w:r w:rsidRPr="004D11C2">
        <w:t xml:space="preserve">directly and fund </w:t>
      </w:r>
      <w:r>
        <w:t xml:space="preserve">others </w:t>
      </w:r>
      <w:r w:rsidRPr="004D11C2">
        <w:t xml:space="preserve">in </w:t>
      </w:r>
      <w:r>
        <w:t xml:space="preserve">a </w:t>
      </w:r>
      <w:r w:rsidRPr="004D11C2">
        <w:t>partner organisation</w:t>
      </w:r>
      <w:r>
        <w:t>, to support collaboration and the provision of co</w:t>
      </w:r>
      <w:r w:rsidR="00F95563">
        <w:t xml:space="preserve">ordinated </w:t>
      </w:r>
      <w:r>
        <w:t xml:space="preserve">services to young people. </w:t>
      </w:r>
    </w:p>
    <w:p w14:paraId="6157DB4D" w14:textId="77777777" w:rsidR="0079181B" w:rsidRDefault="00D030EB" w:rsidP="0079181B">
      <w:pPr>
        <w:pStyle w:val="DHHSbody"/>
      </w:pPr>
      <w:r>
        <w:t>Funded organisations</w:t>
      </w:r>
      <w:r w:rsidR="0079181B">
        <w:t xml:space="preserve"> </w:t>
      </w:r>
      <w:r w:rsidR="00812B76">
        <w:t>will be r</w:t>
      </w:r>
      <w:r>
        <w:t>equired to work collaboratively with other organisations, such as:</w:t>
      </w:r>
      <w:r w:rsidR="0079181B" w:rsidRPr="00E46B52">
        <w:t xml:space="preserve"> </w:t>
      </w:r>
    </w:p>
    <w:p w14:paraId="0284FD9B" w14:textId="77777777" w:rsidR="0079181B" w:rsidRDefault="0079181B" w:rsidP="00A21ABA">
      <w:pPr>
        <w:pStyle w:val="DHHSbullet1"/>
      </w:pPr>
      <w:r w:rsidRPr="00E46B52">
        <w:t>schools and other educ</w:t>
      </w:r>
      <w:r>
        <w:t>ational and training providers</w:t>
      </w:r>
    </w:p>
    <w:p w14:paraId="4301D49D" w14:textId="77777777" w:rsidR="0079181B" w:rsidRDefault="0079181B" w:rsidP="00A21ABA">
      <w:pPr>
        <w:pStyle w:val="DHHSbullet1"/>
      </w:pPr>
      <w:r>
        <w:t>community and health organisations</w:t>
      </w:r>
    </w:p>
    <w:p w14:paraId="38465272" w14:textId="77777777" w:rsidR="0079181B" w:rsidRDefault="0079181B" w:rsidP="00A21ABA">
      <w:pPr>
        <w:pStyle w:val="DHHSbullet1"/>
      </w:pPr>
      <w:r>
        <w:t xml:space="preserve">local government </w:t>
      </w:r>
    </w:p>
    <w:p w14:paraId="7CD5ADDC" w14:textId="77777777" w:rsidR="0079181B" w:rsidRDefault="0079181B" w:rsidP="00A21ABA">
      <w:pPr>
        <w:pStyle w:val="DHHSbullet1"/>
      </w:pPr>
      <w:r w:rsidRPr="00E46B52">
        <w:t>local businesses</w:t>
      </w:r>
      <w:r>
        <w:t xml:space="preserve"> and job providers </w:t>
      </w:r>
    </w:p>
    <w:p w14:paraId="2C7BD7F2" w14:textId="77777777" w:rsidR="0079181B" w:rsidRPr="00E46B52" w:rsidRDefault="0079181B" w:rsidP="00A21ABA">
      <w:pPr>
        <w:pStyle w:val="DHHSbullet1lastline"/>
      </w:pPr>
      <w:r>
        <w:t>culturally sensitive and safe service providers</w:t>
      </w:r>
      <w:r w:rsidR="00972819">
        <w:t>.</w:t>
      </w:r>
      <w:r>
        <w:t xml:space="preserve">  </w:t>
      </w:r>
    </w:p>
    <w:p w14:paraId="585318CE" w14:textId="4CC2C256" w:rsidR="00E066A6" w:rsidRDefault="000137F7" w:rsidP="00812B76">
      <w:pPr>
        <w:pStyle w:val="DHHSbody"/>
      </w:pPr>
      <w:r>
        <w:t>The Empower Youth p</w:t>
      </w:r>
      <w:r w:rsidR="00812B76">
        <w:t xml:space="preserve">rogram will target </w:t>
      </w:r>
      <w:r w:rsidR="00E066A6">
        <w:t>vulnerable young people including those disengaged from school, family and community or at risk of engaging in anti-social behaviour</w:t>
      </w:r>
      <w:r w:rsidR="00812B76">
        <w:t xml:space="preserve">. </w:t>
      </w:r>
    </w:p>
    <w:p w14:paraId="06EB86DC" w14:textId="66A62E8A" w:rsidR="00812B76" w:rsidRPr="00B55679" w:rsidRDefault="00C44154" w:rsidP="00812B76">
      <w:pPr>
        <w:pStyle w:val="DHHSbody"/>
        <w:tabs>
          <w:tab w:val="num" w:pos="851"/>
        </w:tabs>
        <w:rPr>
          <w:rFonts w:cs="Arial"/>
        </w:rPr>
      </w:pPr>
      <w:r>
        <w:br w:type="column"/>
      </w:r>
      <w:r w:rsidR="00812B76" w:rsidRPr="00B55679">
        <w:lastRenderedPageBreak/>
        <w:t xml:space="preserve">Each </w:t>
      </w:r>
      <w:r w:rsidR="007A43A1" w:rsidRPr="00B55679">
        <w:t xml:space="preserve">funded </w:t>
      </w:r>
      <w:r w:rsidR="00972819" w:rsidRPr="00B55679">
        <w:t>organisation</w:t>
      </w:r>
      <w:r w:rsidR="00D030EB" w:rsidRPr="00B55679">
        <w:t xml:space="preserve"> </w:t>
      </w:r>
      <w:r w:rsidR="00812B76" w:rsidRPr="00B55679">
        <w:t xml:space="preserve">must support a </w:t>
      </w:r>
      <w:r w:rsidR="00226AE2" w:rsidRPr="00B55679">
        <w:t>minimum of 50</w:t>
      </w:r>
      <w:r w:rsidR="00F95563" w:rsidRPr="00B55679">
        <w:t xml:space="preserve"> </w:t>
      </w:r>
      <w:r w:rsidR="00E066A6" w:rsidRPr="00B55679">
        <w:t>young people per year</w:t>
      </w:r>
      <w:r w:rsidR="00812B76" w:rsidRPr="00B55679">
        <w:t xml:space="preserve"> and work closely with each young person to </w:t>
      </w:r>
      <w:r w:rsidR="00525685" w:rsidRPr="00B55679">
        <w:rPr>
          <w:rFonts w:cs="Arial"/>
        </w:rPr>
        <w:t>develop an aspirational plan which identifies the goals and the actions to be taken to support the young person in the four key areas</w:t>
      </w:r>
      <w:r w:rsidR="00812B76" w:rsidRPr="00B55679">
        <w:rPr>
          <w:rFonts w:cs="Arial"/>
        </w:rPr>
        <w:t xml:space="preserve"> of health and </w:t>
      </w:r>
      <w:r w:rsidR="00671F5B" w:rsidRPr="00B55679">
        <w:rPr>
          <w:rFonts w:cs="Arial"/>
        </w:rPr>
        <w:t>well-being</w:t>
      </w:r>
      <w:r w:rsidR="00812B76" w:rsidRPr="00B55679">
        <w:rPr>
          <w:rFonts w:cs="Arial"/>
        </w:rPr>
        <w:t xml:space="preserve">, community participation, education and training, and pathways to </w:t>
      </w:r>
      <w:r w:rsidR="00633A9A" w:rsidRPr="00B55679">
        <w:rPr>
          <w:rFonts w:cs="Arial"/>
        </w:rPr>
        <w:t>employment</w:t>
      </w:r>
      <w:r w:rsidR="00812B76" w:rsidRPr="00B55679">
        <w:rPr>
          <w:rFonts w:cs="Arial"/>
        </w:rPr>
        <w:t xml:space="preserve">. </w:t>
      </w:r>
      <w:r w:rsidR="00226AE2" w:rsidRPr="00B55679">
        <w:t xml:space="preserve">Higher levels of participation by young people </w:t>
      </w:r>
      <w:r w:rsidR="00E451A8" w:rsidRPr="00B55679">
        <w:t xml:space="preserve">will be required </w:t>
      </w:r>
      <w:r w:rsidR="00226AE2" w:rsidRPr="00B55679">
        <w:t>from larger scale programs</w:t>
      </w:r>
      <w:r w:rsidR="00E451A8" w:rsidRPr="00B55679">
        <w:t xml:space="preserve"> and a minimum of 100 young people would have to </w:t>
      </w:r>
      <w:r w:rsidR="00612CE8" w:rsidRPr="00B55679">
        <w:t xml:space="preserve">be </w:t>
      </w:r>
      <w:r w:rsidR="00E451A8" w:rsidRPr="00B55679">
        <w:t>supported at th</w:t>
      </w:r>
      <w:r w:rsidR="00612CE8" w:rsidRPr="00B55679">
        <w:t xml:space="preserve">e   maximum </w:t>
      </w:r>
      <w:r w:rsidR="00E451A8" w:rsidRPr="00B55679">
        <w:t>level of funding available.</w:t>
      </w:r>
      <w:r w:rsidR="00812B76" w:rsidRPr="00B55679">
        <w:rPr>
          <w:rFonts w:cs="Arial"/>
        </w:rPr>
        <w:t xml:space="preserve"> </w:t>
      </w:r>
    </w:p>
    <w:p w14:paraId="14A1483E" w14:textId="77777777" w:rsidR="00633A9A" w:rsidRPr="00B55679" w:rsidRDefault="00812B76" w:rsidP="00812B76">
      <w:pPr>
        <w:pStyle w:val="DHHSbody"/>
        <w:tabs>
          <w:tab w:val="num" w:pos="851"/>
        </w:tabs>
      </w:pPr>
      <w:r w:rsidRPr="00B55679">
        <w:rPr>
          <w:rFonts w:cs="Arial"/>
        </w:rPr>
        <w:t xml:space="preserve">The program will be delivered in </w:t>
      </w:r>
      <w:r w:rsidR="00E066A6" w:rsidRPr="00B55679">
        <w:t>areas experiencing</w:t>
      </w:r>
      <w:r w:rsidR="00E066A6">
        <w:t xml:space="preserve"> high socio-econ</w:t>
      </w:r>
      <w:r w:rsidR="00226AE2">
        <w:t xml:space="preserve">omic disadvantage, including </w:t>
      </w:r>
      <w:r w:rsidR="00E066A6">
        <w:t xml:space="preserve">areas of high </w:t>
      </w:r>
      <w:r w:rsidR="00226AE2">
        <w:t xml:space="preserve">youth </w:t>
      </w:r>
      <w:r w:rsidR="00E066A6">
        <w:t xml:space="preserve">unemployment, increased youth offending, low educational </w:t>
      </w:r>
      <w:r w:rsidR="00E066A6" w:rsidRPr="00B55679">
        <w:t>engagement and poor health or mental wellbeing indicators</w:t>
      </w:r>
      <w:r w:rsidR="00226AE2" w:rsidRPr="00B55679">
        <w:t xml:space="preserve"> for young people</w:t>
      </w:r>
      <w:r w:rsidR="00633A9A" w:rsidRPr="00B55679">
        <w:t xml:space="preserve">. </w:t>
      </w:r>
    </w:p>
    <w:p w14:paraId="0A5D2D59" w14:textId="77777777" w:rsidR="00796C80" w:rsidRDefault="00796C80" w:rsidP="006A36D1">
      <w:pPr>
        <w:pStyle w:val="DHHSbody"/>
        <w:tabs>
          <w:tab w:val="num" w:pos="851"/>
        </w:tabs>
      </w:pPr>
      <w:r>
        <w:t>Target</w:t>
      </w:r>
      <w:r w:rsidRPr="00B55679">
        <w:t xml:space="preserve"> </w:t>
      </w:r>
      <w:r w:rsidR="00633A9A" w:rsidRPr="00B55679">
        <w:t xml:space="preserve">areas </w:t>
      </w:r>
      <w:r w:rsidR="00812B76" w:rsidRPr="00B55679">
        <w:t>includ</w:t>
      </w:r>
      <w:r w:rsidR="007A43A1" w:rsidRPr="00B55679">
        <w:t>e</w:t>
      </w:r>
      <w:r w:rsidR="00226AE2" w:rsidRPr="00B55679">
        <w:t>, but are not limited to</w:t>
      </w:r>
      <w:r w:rsidR="0047312F" w:rsidRPr="00B55679">
        <w:t>:</w:t>
      </w:r>
      <w:r w:rsidR="00812B76" w:rsidRPr="00B55679">
        <w:t xml:space="preserve"> </w:t>
      </w:r>
    </w:p>
    <w:tbl>
      <w:tblPr>
        <w:tblStyle w:val="TableGrid"/>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tblGrid>
      <w:tr w:rsidR="00AD1449" w:rsidRPr="00B55679" w14:paraId="4F658B5E" w14:textId="77777777" w:rsidTr="006C5B40">
        <w:trPr>
          <w:trHeight w:val="2062"/>
        </w:trPr>
        <w:tc>
          <w:tcPr>
            <w:tcW w:w="2268" w:type="dxa"/>
          </w:tcPr>
          <w:p w14:paraId="33A15300" w14:textId="77777777" w:rsidR="00AD1449" w:rsidRDefault="00AD1449" w:rsidP="006C5B40">
            <w:pPr>
              <w:pStyle w:val="DHHSbullet1"/>
            </w:pPr>
            <w:proofErr w:type="spellStart"/>
            <w:r w:rsidRPr="00B55679">
              <w:t>Brimbank</w:t>
            </w:r>
            <w:proofErr w:type="spellEnd"/>
          </w:p>
          <w:p w14:paraId="4EF9EC29" w14:textId="77777777" w:rsidR="00AD1449" w:rsidRDefault="00AD1449" w:rsidP="006C5B40">
            <w:pPr>
              <w:pStyle w:val="DHHSbullet1"/>
            </w:pPr>
            <w:r w:rsidRPr="00B55679">
              <w:t>Casey</w:t>
            </w:r>
          </w:p>
          <w:p w14:paraId="64E5AD78" w14:textId="77777777" w:rsidR="00AD1449" w:rsidRDefault="00AD1449" w:rsidP="006C5B40">
            <w:pPr>
              <w:pStyle w:val="DHHSbullet1"/>
            </w:pPr>
            <w:r>
              <w:t>Central Goldfields</w:t>
            </w:r>
          </w:p>
          <w:p w14:paraId="0E538A96" w14:textId="77777777" w:rsidR="00AD1449" w:rsidRDefault="00AD1449" w:rsidP="006C5B40">
            <w:pPr>
              <w:pStyle w:val="DHHSbullet1"/>
              <w:rPr>
                <w:lang w:eastAsia="en-AU"/>
              </w:rPr>
            </w:pPr>
            <w:r>
              <w:t>East Gippsland</w:t>
            </w:r>
          </w:p>
          <w:p w14:paraId="3CC912A0" w14:textId="77777777" w:rsidR="00AD1449" w:rsidRDefault="00AD1449" w:rsidP="006C5B40">
            <w:pPr>
              <w:pStyle w:val="DHHSbullet1"/>
            </w:pPr>
            <w:r>
              <w:t>Frankston</w:t>
            </w:r>
          </w:p>
          <w:p w14:paraId="6C30DC0A" w14:textId="77777777" w:rsidR="00AD1449" w:rsidRDefault="00AD1449" w:rsidP="006C5B40">
            <w:pPr>
              <w:pStyle w:val="DHHSbullet1"/>
            </w:pPr>
            <w:proofErr w:type="spellStart"/>
            <w:r>
              <w:t>Gannawarra</w:t>
            </w:r>
            <w:proofErr w:type="spellEnd"/>
            <w:r>
              <w:t xml:space="preserve"> </w:t>
            </w:r>
          </w:p>
          <w:p w14:paraId="5A072E51" w14:textId="29766F6F" w:rsidR="00AD1449" w:rsidRDefault="00AD1449" w:rsidP="006C5B40">
            <w:pPr>
              <w:pStyle w:val="DHHSbullet1"/>
            </w:pPr>
            <w:r>
              <w:t>Greater Bendigo</w:t>
            </w:r>
          </w:p>
          <w:p w14:paraId="5A3CC6DC" w14:textId="5A79BA77" w:rsidR="00AD1449" w:rsidRPr="00B55679" w:rsidRDefault="00AD1449" w:rsidP="006C5B40">
            <w:pPr>
              <w:pStyle w:val="DHHSbullet1"/>
            </w:pPr>
            <w:r w:rsidRPr="00B55679">
              <w:t>Greater Geelong</w:t>
            </w:r>
          </w:p>
        </w:tc>
        <w:tc>
          <w:tcPr>
            <w:tcW w:w="2410" w:type="dxa"/>
          </w:tcPr>
          <w:p w14:paraId="33C3F803" w14:textId="77777777" w:rsidR="00AD1449" w:rsidRDefault="00AD1449" w:rsidP="006C5B40">
            <w:pPr>
              <w:pStyle w:val="DHHSbullet1"/>
              <w:rPr>
                <w:lang w:eastAsia="en-AU"/>
              </w:rPr>
            </w:pPr>
            <w:r>
              <w:t>Greater Shepparton</w:t>
            </w:r>
          </w:p>
          <w:p w14:paraId="651EF75C" w14:textId="77777777" w:rsidR="00AD1449" w:rsidRDefault="00AD1449" w:rsidP="006C5B40">
            <w:pPr>
              <w:pStyle w:val="DHHSbullet1"/>
            </w:pPr>
            <w:r>
              <w:t>La Trobe</w:t>
            </w:r>
          </w:p>
          <w:p w14:paraId="70046A66" w14:textId="77777777" w:rsidR="00AD1449" w:rsidRDefault="00AD1449" w:rsidP="006C5B40">
            <w:pPr>
              <w:pStyle w:val="DHHSbullet1"/>
            </w:pPr>
            <w:r>
              <w:t>Melton</w:t>
            </w:r>
          </w:p>
          <w:p w14:paraId="7472AD0F" w14:textId="77777777" w:rsidR="00AD1449" w:rsidRDefault="00AD1449" w:rsidP="006C5B40">
            <w:pPr>
              <w:pStyle w:val="DHHSbullet1"/>
            </w:pPr>
            <w:r>
              <w:t>Mildura</w:t>
            </w:r>
          </w:p>
          <w:p w14:paraId="6E6608C4" w14:textId="77777777" w:rsidR="00AD1449" w:rsidRDefault="00AD1449" w:rsidP="006C5B40">
            <w:pPr>
              <w:pStyle w:val="DHHSbullet1"/>
            </w:pPr>
            <w:r>
              <w:t>Swan Hill</w:t>
            </w:r>
          </w:p>
          <w:p w14:paraId="5B6B2BD5" w14:textId="77777777" w:rsidR="00AD1449" w:rsidRDefault="00AD1449" w:rsidP="006C5B40">
            <w:pPr>
              <w:pStyle w:val="DHHSbullet1"/>
            </w:pPr>
            <w:r w:rsidRPr="00B55679">
              <w:t>Whittlesea</w:t>
            </w:r>
          </w:p>
          <w:p w14:paraId="143FA29D" w14:textId="397D621F" w:rsidR="00AD1449" w:rsidRPr="00B55679" w:rsidRDefault="00AD1449" w:rsidP="006C5B40">
            <w:pPr>
              <w:pStyle w:val="DHHSbullet1"/>
            </w:pPr>
            <w:r>
              <w:t>Wyndham</w:t>
            </w:r>
          </w:p>
        </w:tc>
      </w:tr>
    </w:tbl>
    <w:p w14:paraId="752544B8" w14:textId="77777777" w:rsidR="0047312F" w:rsidRDefault="0018089D" w:rsidP="006C5B40">
      <w:pPr>
        <w:pStyle w:val="DHHSbodyaftertablefigure"/>
      </w:pPr>
      <w:r>
        <w:t>Priority will be given to areas where the Empower Youth program is not currently operating.</w:t>
      </w:r>
    </w:p>
    <w:p w14:paraId="31CA42B4" w14:textId="77777777" w:rsidR="007F67BA" w:rsidRDefault="007F67BA" w:rsidP="00736634">
      <w:pPr>
        <w:pStyle w:val="Heading1"/>
        <w:rPr>
          <w:b/>
        </w:rPr>
      </w:pPr>
      <w:r w:rsidRPr="00B02293">
        <w:t>What will not be funded?</w:t>
      </w:r>
    </w:p>
    <w:p w14:paraId="376DB09C" w14:textId="77777777" w:rsidR="007F67BA" w:rsidRDefault="007243D8" w:rsidP="007F67BA">
      <w:pPr>
        <w:pStyle w:val="DHHSbody"/>
      </w:pPr>
      <w:r>
        <w:t>Empower Youth</w:t>
      </w:r>
      <w:r w:rsidR="007F67BA">
        <w:t xml:space="preserve"> will not fund:</w:t>
      </w:r>
    </w:p>
    <w:p w14:paraId="061D1383" w14:textId="6FB6EF46" w:rsidR="007F67BA" w:rsidRDefault="007F67BA" w:rsidP="00A21ABA">
      <w:pPr>
        <w:pStyle w:val="DHHSbullet1"/>
      </w:pPr>
      <w:r>
        <w:t xml:space="preserve">organisations that have failed to complete any previous projects funded by the Department of Health </w:t>
      </w:r>
      <w:r w:rsidR="00A21ABA">
        <w:t>and</w:t>
      </w:r>
      <w:r>
        <w:t xml:space="preserve"> Human Services without demonstrating sufficient cause</w:t>
      </w:r>
    </w:p>
    <w:p w14:paraId="24823CF7" w14:textId="77777777" w:rsidR="007F67BA" w:rsidRDefault="007F67BA" w:rsidP="00A21ABA">
      <w:pPr>
        <w:pStyle w:val="DHHSbullet1"/>
      </w:pPr>
      <w:r>
        <w:t xml:space="preserve">commercial organisations or bodies established for profit making </w:t>
      </w:r>
    </w:p>
    <w:p w14:paraId="3369A84C" w14:textId="77777777" w:rsidR="007F67BA" w:rsidRDefault="007F67BA" w:rsidP="00A21ABA">
      <w:pPr>
        <w:pStyle w:val="DHHSbullet1"/>
      </w:pPr>
      <w:r>
        <w:t>requests for the purchase, maintenance or upgrading of facilities or equipment</w:t>
      </w:r>
    </w:p>
    <w:p w14:paraId="776A39E8" w14:textId="2EF9928D" w:rsidR="007F67BA" w:rsidRDefault="007F67BA" w:rsidP="00A21ABA">
      <w:pPr>
        <w:pStyle w:val="DHHSbullet1"/>
      </w:pPr>
      <w:r>
        <w:t>projects that are al</w:t>
      </w:r>
      <w:r w:rsidR="00A21ABA">
        <w:t>ready being funded under other g</w:t>
      </w:r>
      <w:r>
        <w:t>overnment programs</w:t>
      </w:r>
    </w:p>
    <w:p w14:paraId="413C725E" w14:textId="77777777" w:rsidR="00633A9A" w:rsidRDefault="007F67BA" w:rsidP="00A21ABA">
      <w:pPr>
        <w:pStyle w:val="DHHSbullet1"/>
      </w:pPr>
      <w:r>
        <w:t xml:space="preserve">projects that do not </w:t>
      </w:r>
      <w:r w:rsidR="00633A9A">
        <w:t xml:space="preserve">engage young people in design. </w:t>
      </w:r>
    </w:p>
    <w:p w14:paraId="3DC39DC2" w14:textId="77777777" w:rsidR="00C44154" w:rsidRDefault="00C44154">
      <w:pPr>
        <w:rPr>
          <w:rFonts w:ascii="Arial" w:eastAsia="MS Gothic" w:hAnsi="Arial" w:cs="Arial"/>
          <w:bCs/>
          <w:color w:val="004EA8"/>
          <w:kern w:val="32"/>
          <w:sz w:val="36"/>
          <w:szCs w:val="40"/>
        </w:rPr>
      </w:pPr>
      <w:r>
        <w:br w:type="page"/>
      </w:r>
    </w:p>
    <w:p w14:paraId="46FC4801" w14:textId="1DB4D7B3" w:rsidR="007F67BA" w:rsidRPr="00736634" w:rsidRDefault="007F67BA" w:rsidP="00736634">
      <w:pPr>
        <w:pStyle w:val="Heading1"/>
      </w:pPr>
      <w:r w:rsidRPr="00736634">
        <w:lastRenderedPageBreak/>
        <w:t>How will applications be assessed?</w:t>
      </w:r>
    </w:p>
    <w:p w14:paraId="57632F9E" w14:textId="77777777" w:rsidR="007F67BA" w:rsidRDefault="007F67BA" w:rsidP="007F67BA">
      <w:pPr>
        <w:pStyle w:val="DHHSbody"/>
      </w:pPr>
      <w:r w:rsidRPr="00840F82">
        <w:t>Applications will be assessed against responses to the following:</w:t>
      </w: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CCDCEE"/>
        <w:tblCellMar>
          <w:top w:w="113" w:type="dxa"/>
          <w:left w:w="227" w:type="dxa"/>
          <w:bottom w:w="113" w:type="dxa"/>
          <w:right w:w="227" w:type="dxa"/>
        </w:tblCellMar>
        <w:tblLook w:val="01E0" w:firstRow="1" w:lastRow="1" w:firstColumn="1" w:lastColumn="1" w:noHBand="0" w:noVBand="0"/>
      </w:tblPr>
      <w:tblGrid>
        <w:gridCol w:w="5386"/>
      </w:tblGrid>
      <w:tr w:rsidR="007F67BA" w:rsidRPr="004135A0" w14:paraId="6E2856AE" w14:textId="77777777" w:rsidTr="006C5B40">
        <w:tc>
          <w:tcPr>
            <w:tcW w:w="9464" w:type="dxa"/>
            <w:shd w:val="clear" w:color="auto" w:fill="CCDCEE"/>
            <w:vAlign w:val="center"/>
          </w:tcPr>
          <w:p w14:paraId="1326B7C3" w14:textId="42CB65CA" w:rsidR="007F67BA" w:rsidRPr="00736634" w:rsidRDefault="00736634" w:rsidP="00736634">
            <w:pPr>
              <w:pStyle w:val="DHHSnumberdigit"/>
              <w:rPr>
                <w:b/>
              </w:rPr>
            </w:pPr>
            <w:r w:rsidRPr="00736634">
              <w:rPr>
                <w:b/>
              </w:rPr>
              <w:t>Project overview</w:t>
            </w:r>
          </w:p>
          <w:p w14:paraId="4F6474E1" w14:textId="77777777" w:rsidR="007F67BA" w:rsidRPr="004135A0" w:rsidRDefault="007F67BA" w:rsidP="00736634">
            <w:pPr>
              <w:pStyle w:val="DHHSnumberloweralphaindent"/>
            </w:pPr>
            <w:r w:rsidRPr="004135A0">
              <w:t>Address</w:t>
            </w:r>
            <w:r w:rsidR="00BD5D1E">
              <w:t xml:space="preserve">es </w:t>
            </w:r>
            <w:r w:rsidRPr="004135A0">
              <w:t>an identified need not currently being met by other organisations in the community, backed up by data and evidence</w:t>
            </w:r>
            <w:r>
              <w:t>.</w:t>
            </w:r>
          </w:p>
          <w:p w14:paraId="5BE4A8B0" w14:textId="77777777" w:rsidR="007F67BA" w:rsidRPr="004135A0" w:rsidRDefault="00BD5D1E" w:rsidP="00736634">
            <w:pPr>
              <w:pStyle w:val="DHHSnumberloweralphaindent"/>
            </w:pPr>
            <w:r>
              <w:t xml:space="preserve">Includes </w:t>
            </w:r>
            <w:r w:rsidR="007F67BA" w:rsidRPr="004135A0">
              <w:t>specific, measurable, timely and achievable aims and objectives</w:t>
            </w:r>
            <w:r w:rsidR="007F67BA">
              <w:t>.</w:t>
            </w:r>
          </w:p>
        </w:tc>
      </w:tr>
      <w:tr w:rsidR="007F67BA" w:rsidRPr="004135A0" w14:paraId="621110F8" w14:textId="77777777" w:rsidTr="006C5B40">
        <w:tc>
          <w:tcPr>
            <w:tcW w:w="9464" w:type="dxa"/>
            <w:shd w:val="clear" w:color="auto" w:fill="CCDCEE"/>
            <w:vAlign w:val="center"/>
          </w:tcPr>
          <w:p w14:paraId="1C923CE3" w14:textId="5501DEDF" w:rsidR="007F67BA" w:rsidRPr="00736634" w:rsidRDefault="00736634" w:rsidP="00736634">
            <w:pPr>
              <w:pStyle w:val="DHHSnumberdigit"/>
              <w:rPr>
                <w:b/>
              </w:rPr>
            </w:pPr>
            <w:r w:rsidRPr="00736634">
              <w:rPr>
                <w:b/>
              </w:rPr>
              <w:t>Project delivery</w:t>
            </w:r>
          </w:p>
          <w:p w14:paraId="313684B1" w14:textId="77777777" w:rsidR="007F67BA" w:rsidRPr="00B55679" w:rsidRDefault="007F67BA" w:rsidP="00736634">
            <w:pPr>
              <w:pStyle w:val="DHHSnumberloweralphaindent"/>
              <w:numPr>
                <w:ilvl w:val="3"/>
                <w:numId w:val="19"/>
              </w:numPr>
            </w:pPr>
            <w:r w:rsidRPr="00B55679">
              <w:t>Demonstrate</w:t>
            </w:r>
            <w:r w:rsidR="00BD5D1E" w:rsidRPr="00B55679">
              <w:t>s</w:t>
            </w:r>
            <w:r w:rsidRPr="00B55679">
              <w:t xml:space="preserve"> how the aims and objectives will be achieved in a holistic way across </w:t>
            </w:r>
            <w:r w:rsidRPr="00736634">
              <w:rPr>
                <w:b/>
              </w:rPr>
              <w:t>all four</w:t>
            </w:r>
            <w:r w:rsidRPr="00B55679">
              <w:t xml:space="preserve"> key elements of </w:t>
            </w:r>
            <w:r w:rsidR="007243D8" w:rsidRPr="00B55679">
              <w:t>Empower Youth</w:t>
            </w:r>
            <w:r w:rsidRPr="00B55679">
              <w:t>, including:</w:t>
            </w:r>
          </w:p>
          <w:p w14:paraId="138D44EF" w14:textId="417B9398" w:rsidR="007F67BA" w:rsidRPr="00B55679" w:rsidRDefault="00671F5B" w:rsidP="00736634">
            <w:pPr>
              <w:pStyle w:val="DHHSnumberlowerromanindent"/>
              <w:ind w:firstLine="57"/>
            </w:pPr>
            <w:r w:rsidRPr="00B55679">
              <w:t>Health and w</w:t>
            </w:r>
            <w:r w:rsidR="00736634">
              <w:t>ell</w:t>
            </w:r>
            <w:r w:rsidRPr="00B55679">
              <w:t>b</w:t>
            </w:r>
            <w:r w:rsidR="007F67BA" w:rsidRPr="00B55679">
              <w:t>eing</w:t>
            </w:r>
          </w:p>
          <w:p w14:paraId="2D9A3501" w14:textId="77777777" w:rsidR="00671F5B" w:rsidRPr="00B55679" w:rsidRDefault="007F67BA" w:rsidP="00736634">
            <w:pPr>
              <w:pStyle w:val="DHHSnumberlowerromanindent"/>
              <w:ind w:firstLine="57"/>
            </w:pPr>
            <w:r w:rsidRPr="00B55679">
              <w:t xml:space="preserve">Community </w:t>
            </w:r>
            <w:r w:rsidR="00671F5B" w:rsidRPr="00B55679">
              <w:t xml:space="preserve">participation </w:t>
            </w:r>
          </w:p>
          <w:p w14:paraId="0FF03957" w14:textId="346B8C28" w:rsidR="007F67BA" w:rsidRPr="00B55679" w:rsidRDefault="00736634" w:rsidP="00736634">
            <w:pPr>
              <w:pStyle w:val="DHHSnumberlowerromanindent"/>
              <w:ind w:firstLine="57"/>
            </w:pPr>
            <w:r>
              <w:t>Education and</w:t>
            </w:r>
            <w:r w:rsidR="007F67BA" w:rsidRPr="00B55679">
              <w:t xml:space="preserve"> </w:t>
            </w:r>
            <w:r w:rsidR="00671F5B" w:rsidRPr="00B55679">
              <w:t>t</w:t>
            </w:r>
            <w:r w:rsidR="007F67BA" w:rsidRPr="00B55679">
              <w:t>raining</w:t>
            </w:r>
          </w:p>
          <w:p w14:paraId="0DD46725" w14:textId="77777777" w:rsidR="007F67BA" w:rsidRPr="00B55679" w:rsidRDefault="007F67BA" w:rsidP="00736634">
            <w:pPr>
              <w:pStyle w:val="DHHSnumberlowerromanindent"/>
              <w:ind w:firstLine="57"/>
            </w:pPr>
            <w:r w:rsidRPr="00B55679">
              <w:t xml:space="preserve">Career </w:t>
            </w:r>
            <w:r w:rsidR="00671F5B" w:rsidRPr="00B55679">
              <w:t>p</w:t>
            </w:r>
            <w:r w:rsidRPr="00B55679">
              <w:t>athways.</w:t>
            </w:r>
          </w:p>
          <w:p w14:paraId="2885B42F" w14:textId="7D6C941C" w:rsidR="007F67BA" w:rsidRPr="00B55679" w:rsidRDefault="00671F5B" w:rsidP="00BF6DD5">
            <w:pPr>
              <w:pStyle w:val="DHHSnumberloweralphaindent"/>
            </w:pPr>
            <w:r w:rsidRPr="00B55679">
              <w:t>Engage</w:t>
            </w:r>
            <w:r w:rsidR="00BD5D1E" w:rsidRPr="00B55679">
              <w:t>s</w:t>
            </w:r>
            <w:r w:rsidRPr="00B55679">
              <w:t xml:space="preserve"> </w:t>
            </w:r>
            <w:r w:rsidR="007F67BA" w:rsidRPr="00B55679">
              <w:t xml:space="preserve">young people in the development, implementation and </w:t>
            </w:r>
            <w:r w:rsidR="00BD5D1E" w:rsidRPr="00B55679">
              <w:t xml:space="preserve">design </w:t>
            </w:r>
            <w:r w:rsidRPr="00B55679">
              <w:t>of the program</w:t>
            </w:r>
            <w:r w:rsidR="004D11C2" w:rsidRPr="00B55679">
              <w:t xml:space="preserve"> in line with the Youth Engagement Charter in the Victorian Government’s </w:t>
            </w:r>
            <w:r w:rsidR="004D11C2" w:rsidRPr="00736634">
              <w:rPr>
                <w:i/>
              </w:rPr>
              <w:t>Youth Policy</w:t>
            </w:r>
            <w:r w:rsidR="00BD5D1E" w:rsidRPr="00736634">
              <w:rPr>
                <w:i/>
              </w:rPr>
              <w:t>: Building Stronger Youth Engagement</w:t>
            </w:r>
            <w:r w:rsidR="00E451A8" w:rsidRPr="00736634">
              <w:rPr>
                <w:i/>
              </w:rPr>
              <w:t xml:space="preserve"> in Victoria</w:t>
            </w:r>
            <w:r w:rsidR="00BD5D1E" w:rsidRPr="00B55679">
              <w:t>.</w:t>
            </w:r>
            <w:r w:rsidRPr="00B55679">
              <w:t xml:space="preserve"> </w:t>
            </w:r>
          </w:p>
          <w:p w14:paraId="2C5E3C54" w14:textId="77777777" w:rsidR="007F67BA" w:rsidRPr="00B55679" w:rsidRDefault="007F67BA" w:rsidP="00736634">
            <w:pPr>
              <w:pStyle w:val="DHHSnumberloweralphaindent"/>
            </w:pPr>
            <w:r w:rsidRPr="00B55679">
              <w:t>Demonstrate</w:t>
            </w:r>
            <w:r w:rsidR="00BD5D1E" w:rsidRPr="00B55679">
              <w:t>s</w:t>
            </w:r>
            <w:r w:rsidRPr="00B55679">
              <w:t xml:space="preserve"> an innovative</w:t>
            </w:r>
            <w:r w:rsidR="00BD5D1E" w:rsidRPr="00B55679">
              <w:t xml:space="preserve">, intensive </w:t>
            </w:r>
            <w:r w:rsidRPr="00B55679">
              <w:t xml:space="preserve">and holistic approach to delivery of </w:t>
            </w:r>
            <w:r w:rsidR="00BD5D1E" w:rsidRPr="00B55679">
              <w:t>the program</w:t>
            </w:r>
            <w:r w:rsidRPr="00B55679">
              <w:t>.</w:t>
            </w:r>
          </w:p>
          <w:p w14:paraId="363D2068" w14:textId="77777777" w:rsidR="00BD5D1E" w:rsidRPr="00B55679" w:rsidRDefault="00BD5D1E" w:rsidP="00736634">
            <w:pPr>
              <w:pStyle w:val="DHHSnumberloweralphaindent"/>
            </w:pPr>
            <w:r w:rsidRPr="00B55679">
              <w:t xml:space="preserve">Establishes partnerships and the coordination of services to support and empower young people </w:t>
            </w:r>
            <w:r w:rsidR="007A43A1" w:rsidRPr="00B55679">
              <w:t>in the program.</w:t>
            </w:r>
            <w:r w:rsidRPr="00B55679">
              <w:t xml:space="preserve">  </w:t>
            </w:r>
          </w:p>
        </w:tc>
      </w:tr>
      <w:tr w:rsidR="007F67BA" w:rsidRPr="004135A0" w14:paraId="2421655C" w14:textId="77777777" w:rsidTr="006C5B40">
        <w:tc>
          <w:tcPr>
            <w:tcW w:w="9464" w:type="dxa"/>
            <w:shd w:val="clear" w:color="auto" w:fill="CCDCEE"/>
            <w:vAlign w:val="center"/>
          </w:tcPr>
          <w:p w14:paraId="43C4D61B" w14:textId="1C7407B8" w:rsidR="007F67BA" w:rsidRPr="00736634" w:rsidRDefault="00736634" w:rsidP="00736634">
            <w:pPr>
              <w:pStyle w:val="DHHSnumberdigit"/>
              <w:rPr>
                <w:b/>
              </w:rPr>
            </w:pPr>
            <w:r w:rsidRPr="00736634">
              <w:rPr>
                <w:b/>
              </w:rPr>
              <w:t>Project outcomes</w:t>
            </w:r>
          </w:p>
          <w:p w14:paraId="7156A5BE" w14:textId="77777777" w:rsidR="007F67BA" w:rsidRPr="00B55679" w:rsidRDefault="002969D3" w:rsidP="00736634">
            <w:pPr>
              <w:pStyle w:val="DHHSnumberloweralphaindent"/>
              <w:numPr>
                <w:ilvl w:val="3"/>
                <w:numId w:val="20"/>
              </w:numPr>
            </w:pPr>
            <w:r w:rsidRPr="00B55679">
              <w:t>Each funded organisation must support at least 50 young people per year and demonstrate how they have supported each young person to achieve the goals and actions in their aspirational plan. Higher levels of participation by young people would be expected from larger s</w:t>
            </w:r>
            <w:r w:rsidR="00C2074B">
              <w:t xml:space="preserve">cale programs and a minimum of </w:t>
            </w:r>
            <w:r w:rsidRPr="00B55679">
              <w:t xml:space="preserve">100 young people would have to </w:t>
            </w:r>
            <w:r w:rsidR="00C2074B">
              <w:t xml:space="preserve">be </w:t>
            </w:r>
            <w:r w:rsidRPr="00B55679">
              <w:t>supported at the maximum level of funding available.</w:t>
            </w:r>
          </w:p>
        </w:tc>
      </w:tr>
    </w:tbl>
    <w:p w14:paraId="303A2D4D" w14:textId="77777777" w:rsidR="007F67BA" w:rsidRDefault="007F67BA" w:rsidP="00736634">
      <w:pPr>
        <w:pStyle w:val="Heading1"/>
        <w:rPr>
          <w:b/>
        </w:rPr>
      </w:pPr>
      <w:r w:rsidRPr="00B02293">
        <w:lastRenderedPageBreak/>
        <w:t xml:space="preserve">Who can apply? </w:t>
      </w:r>
    </w:p>
    <w:p w14:paraId="42E8A343" w14:textId="77777777" w:rsidR="00671F5B" w:rsidRDefault="004E3C41" w:rsidP="007F67BA">
      <w:pPr>
        <w:pStyle w:val="DHHSbody"/>
      </w:pPr>
      <w:r w:rsidRPr="00F4187E">
        <w:t>Local governments and n</w:t>
      </w:r>
      <w:r w:rsidR="007F67BA" w:rsidRPr="00F4187E">
        <w:t xml:space="preserve">ot-for-profit community organisations </w:t>
      </w:r>
      <w:r w:rsidR="000B4A89" w:rsidRPr="00F4187E">
        <w:t xml:space="preserve">are </w:t>
      </w:r>
      <w:r w:rsidR="0047312F" w:rsidRPr="00F4187E">
        <w:t>eligible to apply for funding.</w:t>
      </w:r>
      <w:r w:rsidR="00671F5B">
        <w:t xml:space="preserve"> </w:t>
      </w:r>
    </w:p>
    <w:p w14:paraId="71CC1555" w14:textId="77777777" w:rsidR="007F67BA" w:rsidRPr="00B55679" w:rsidRDefault="007F67BA" w:rsidP="00736634">
      <w:pPr>
        <w:pStyle w:val="Heading1"/>
        <w:rPr>
          <w:b/>
        </w:rPr>
      </w:pPr>
      <w:r w:rsidRPr="00B02293">
        <w:t xml:space="preserve">What are the funding </w:t>
      </w:r>
      <w:r w:rsidRPr="00B55679">
        <w:t>conditions?</w:t>
      </w:r>
    </w:p>
    <w:p w14:paraId="3D5B4F78" w14:textId="69BDF36E" w:rsidR="007F67BA" w:rsidRPr="006C5B40" w:rsidRDefault="007F67BA" w:rsidP="00C44154">
      <w:pPr>
        <w:pStyle w:val="DHHSbody"/>
      </w:pPr>
      <w:r w:rsidRPr="00C44154">
        <w:t xml:space="preserve">The following conditions will apply to projects that receive </w:t>
      </w:r>
      <w:r w:rsidR="00BD5D1E" w:rsidRPr="00C44154">
        <w:t>funding</w:t>
      </w:r>
      <w:r w:rsidR="00266703" w:rsidRPr="006C5B40">
        <w:t>:</w:t>
      </w:r>
    </w:p>
    <w:p w14:paraId="73049684" w14:textId="3E7D74D8" w:rsidR="00736096" w:rsidRPr="00B55679" w:rsidRDefault="00E066A6" w:rsidP="00736634">
      <w:pPr>
        <w:pStyle w:val="DHHSbullet1"/>
      </w:pPr>
      <w:r w:rsidRPr="00B55679">
        <w:t xml:space="preserve">Funding </w:t>
      </w:r>
      <w:r w:rsidR="00AF4078" w:rsidRPr="00B55679">
        <w:t xml:space="preserve">of up to </w:t>
      </w:r>
      <w:r w:rsidR="0069236A">
        <w:t>$</w:t>
      </w:r>
      <w:r w:rsidR="000D49A6">
        <w:t>5</w:t>
      </w:r>
      <w:r w:rsidR="003B05DD">
        <w:t xml:space="preserve">70,000 </w:t>
      </w:r>
      <w:r w:rsidR="00AF4078" w:rsidRPr="00B55679">
        <w:t xml:space="preserve">will be provided to </w:t>
      </w:r>
      <w:r w:rsidR="00671F5B" w:rsidRPr="00B55679">
        <w:t xml:space="preserve">each </w:t>
      </w:r>
      <w:r w:rsidR="0047312F" w:rsidRPr="00B55679">
        <w:t>organisation</w:t>
      </w:r>
      <w:r w:rsidR="00BC705A">
        <w:t xml:space="preserve"> </w:t>
      </w:r>
      <w:r w:rsidR="004E3C41" w:rsidRPr="00B55679">
        <w:t xml:space="preserve">over </w:t>
      </w:r>
      <w:r w:rsidR="005864A6">
        <w:t>four</w:t>
      </w:r>
      <w:r w:rsidR="005864A6" w:rsidRPr="00B55679">
        <w:t xml:space="preserve"> </w:t>
      </w:r>
      <w:r w:rsidR="004E3C41" w:rsidRPr="00B55679">
        <w:t>years</w:t>
      </w:r>
      <w:r w:rsidR="00226AE2" w:rsidRPr="00B55679">
        <w:t>, subject to the scale of the program</w:t>
      </w:r>
      <w:r w:rsidR="00E451A8" w:rsidRPr="00B55679">
        <w:t xml:space="preserve"> and the number of young people to be supported</w:t>
      </w:r>
      <w:r w:rsidR="0047312F" w:rsidRPr="00B55679">
        <w:t>.</w:t>
      </w:r>
      <w:r w:rsidR="00B80656">
        <w:t xml:space="preserve"> </w:t>
      </w:r>
    </w:p>
    <w:p w14:paraId="120F43B0" w14:textId="0A0F49AD" w:rsidR="007F67BA" w:rsidRPr="00BD4A82" w:rsidRDefault="00671F5B" w:rsidP="00736634">
      <w:pPr>
        <w:pStyle w:val="DHHSbullet1"/>
      </w:pPr>
      <w:r w:rsidRPr="00B55679">
        <w:t>R</w:t>
      </w:r>
      <w:r w:rsidR="007F67BA" w:rsidRPr="00B55679">
        <w:t>ecipients must enter into a service agreement</w:t>
      </w:r>
      <w:r w:rsidR="00736634">
        <w:t xml:space="preserve"> with the Department of Health and</w:t>
      </w:r>
      <w:r w:rsidR="007F67BA" w:rsidRPr="00B55679">
        <w:t xml:space="preserve"> Human Services that sets out the conditions</w:t>
      </w:r>
      <w:r w:rsidR="007F67BA" w:rsidRPr="00BD4A82">
        <w:t xml:space="preserve"> and reporting requirements</w:t>
      </w:r>
      <w:r w:rsidR="000B4A89">
        <w:t>.</w:t>
      </w:r>
    </w:p>
    <w:p w14:paraId="6EA4629E" w14:textId="074F0BE9" w:rsidR="007F67BA" w:rsidRDefault="00671F5B" w:rsidP="00736634">
      <w:pPr>
        <w:pStyle w:val="DHHSbullet1"/>
      </w:pPr>
      <w:r>
        <w:t>F</w:t>
      </w:r>
      <w:r w:rsidR="007F67BA">
        <w:t>unds must be spent on the pro</w:t>
      </w:r>
      <w:r>
        <w:t xml:space="preserve">gram </w:t>
      </w:r>
      <w:r w:rsidR="007F67BA">
        <w:t>as described in the service agreement and any unspent funds must be return</w:t>
      </w:r>
      <w:r w:rsidR="00736634">
        <w:t>ed to the Department of Health and</w:t>
      </w:r>
      <w:r w:rsidR="007F67BA">
        <w:t xml:space="preserve"> Human Services</w:t>
      </w:r>
      <w:r w:rsidR="000B4A89">
        <w:t>.</w:t>
      </w:r>
    </w:p>
    <w:p w14:paraId="336843A1" w14:textId="216A7976" w:rsidR="007F67BA" w:rsidRDefault="000B4A89" w:rsidP="00736634">
      <w:pPr>
        <w:pStyle w:val="DHHSbullet1"/>
      </w:pPr>
      <w:r>
        <w:t>A</w:t>
      </w:r>
      <w:r w:rsidR="007F67BA">
        <w:t>ny variation to the approved pro</w:t>
      </w:r>
      <w:r w:rsidR="00671F5B">
        <w:t xml:space="preserve">gram </w:t>
      </w:r>
      <w:r w:rsidR="007F67BA">
        <w:t xml:space="preserve">must be submitted to </w:t>
      </w:r>
      <w:r w:rsidR="00736634">
        <w:t>the Department of Health and</w:t>
      </w:r>
      <w:r w:rsidR="007F67BA">
        <w:t xml:space="preserve"> Human Services for approval prior to implementation</w:t>
      </w:r>
      <w:r>
        <w:t>.</w:t>
      </w:r>
    </w:p>
    <w:p w14:paraId="41F7579F" w14:textId="77777777" w:rsidR="007F67BA" w:rsidRPr="00F123C0" w:rsidRDefault="000B4A89" w:rsidP="00736634">
      <w:pPr>
        <w:pStyle w:val="DHHSbullet1"/>
      </w:pPr>
      <w:r>
        <w:t>P</w:t>
      </w:r>
      <w:r w:rsidR="007F67BA">
        <w:t>ro</w:t>
      </w:r>
      <w:r w:rsidR="00671F5B">
        <w:t xml:space="preserve">grams </w:t>
      </w:r>
      <w:r w:rsidR="007F67BA">
        <w:t xml:space="preserve">must adhere to the </w:t>
      </w:r>
      <w:r w:rsidR="007243D8">
        <w:t>Empower Youth</w:t>
      </w:r>
      <w:r w:rsidR="007F67BA">
        <w:t xml:space="preserve"> Acknowledgment and Publicity guidelines associated with the service agreement</w:t>
      </w:r>
      <w:r>
        <w:t>.</w:t>
      </w:r>
    </w:p>
    <w:p w14:paraId="48E94A53" w14:textId="77777777" w:rsidR="007F67BA" w:rsidRPr="00B55679" w:rsidRDefault="007F67BA" w:rsidP="00736634">
      <w:pPr>
        <w:pStyle w:val="Heading1"/>
        <w:rPr>
          <w:b/>
        </w:rPr>
      </w:pPr>
      <w:r w:rsidRPr="00B55679">
        <w:t>What is the application process?</w:t>
      </w:r>
    </w:p>
    <w:p w14:paraId="38D52AA5" w14:textId="77777777" w:rsidR="007F67BA" w:rsidRPr="00B55679" w:rsidRDefault="004E3C41" w:rsidP="007F67BA">
      <w:pPr>
        <w:pStyle w:val="DHHSbody"/>
        <w:rPr>
          <w:b/>
        </w:rPr>
      </w:pPr>
      <w:r w:rsidRPr="00B55679">
        <w:t>Applications</w:t>
      </w:r>
      <w:r w:rsidR="007F67BA" w:rsidRPr="00B55679">
        <w:t xml:space="preserve"> must be submitted using the </w:t>
      </w:r>
      <w:r w:rsidR="007243D8" w:rsidRPr="006C5B40">
        <w:rPr>
          <w:b/>
        </w:rPr>
        <w:t>Empower Youth</w:t>
      </w:r>
      <w:r w:rsidR="007F67BA" w:rsidRPr="006C5B40">
        <w:rPr>
          <w:b/>
        </w:rPr>
        <w:t xml:space="preserve"> application form</w:t>
      </w:r>
      <w:r w:rsidR="007F67BA" w:rsidRPr="00B55679">
        <w:t xml:space="preserve"> by close of business </w:t>
      </w:r>
      <w:r w:rsidR="00736096">
        <w:rPr>
          <w:b/>
        </w:rPr>
        <w:t>Monday 9 July 2018.</w:t>
      </w:r>
    </w:p>
    <w:p w14:paraId="64D1C345" w14:textId="0B172BF9" w:rsidR="007F67BA" w:rsidRPr="00B55679" w:rsidRDefault="007F67BA" w:rsidP="007F67BA">
      <w:pPr>
        <w:pStyle w:val="DHHSbody"/>
        <w:rPr>
          <w:b/>
        </w:rPr>
      </w:pPr>
      <w:r w:rsidRPr="00F4187E">
        <w:rPr>
          <w:b/>
        </w:rPr>
        <w:t xml:space="preserve">Applications must be submitted via </w:t>
      </w:r>
      <w:hyperlink r:id="rId14" w:history="1">
        <w:r w:rsidRPr="00736634">
          <w:rPr>
            <w:rStyle w:val="Hyperlink"/>
            <w:b/>
          </w:rPr>
          <w:t xml:space="preserve">email to </w:t>
        </w:r>
        <w:r w:rsidR="00736634" w:rsidRPr="00736634">
          <w:rPr>
            <w:rStyle w:val="Hyperlink"/>
            <w:b/>
          </w:rPr>
          <w:t>Office for Youth</w:t>
        </w:r>
      </w:hyperlink>
      <w:r w:rsidR="00736634">
        <w:rPr>
          <w:b/>
        </w:rPr>
        <w:t xml:space="preserve"> &lt;</w:t>
      </w:r>
      <w:r w:rsidR="00C15F6D">
        <w:rPr>
          <w:b/>
        </w:rPr>
        <w:t>empower</w:t>
      </w:r>
      <w:r w:rsidR="00C15F6D" w:rsidRPr="00736096">
        <w:rPr>
          <w:b/>
        </w:rPr>
        <w:t>@dhhs.vic.gov.au</w:t>
      </w:r>
      <w:r w:rsidR="00736634">
        <w:rPr>
          <w:b/>
        </w:rPr>
        <w:t>&gt;</w:t>
      </w:r>
      <w:r w:rsidR="00C15F6D" w:rsidRPr="00736096">
        <w:rPr>
          <w:b/>
        </w:rPr>
        <w:t>.</w:t>
      </w:r>
    </w:p>
    <w:p w14:paraId="5E3D2B45" w14:textId="77777777" w:rsidR="007F67BA" w:rsidRDefault="007F67BA" w:rsidP="007F67BA">
      <w:pPr>
        <w:pStyle w:val="DHHSbody"/>
      </w:pPr>
      <w:r w:rsidRPr="00B55679">
        <w:t>Late or incomplete applications</w:t>
      </w:r>
      <w:r>
        <w:t xml:space="preserve"> will not be considered. Receipt of applications will be acknowledged in writing.</w:t>
      </w:r>
    </w:p>
    <w:p w14:paraId="6BB1E3E9" w14:textId="720B82BF" w:rsidR="007F67BA" w:rsidRPr="00BD4A82" w:rsidRDefault="00C44154" w:rsidP="007F67BA">
      <w:pPr>
        <w:pStyle w:val="DHHSbody"/>
      </w:pPr>
      <w:r>
        <w:t>You can download c</w:t>
      </w:r>
      <w:r w:rsidR="007F67BA">
        <w:t xml:space="preserve">opies of the </w:t>
      </w:r>
      <w:r w:rsidR="007243D8">
        <w:t>Empower Youth</w:t>
      </w:r>
      <w:r w:rsidR="007F67BA">
        <w:t xml:space="preserve"> </w:t>
      </w:r>
      <w:r>
        <w:t>p</w:t>
      </w:r>
      <w:r w:rsidR="00BD5D1E">
        <w:t xml:space="preserve">rogram </w:t>
      </w:r>
      <w:r>
        <w:t>g</w:t>
      </w:r>
      <w:r w:rsidR="007F67BA">
        <w:t xml:space="preserve">uidelines and </w:t>
      </w:r>
      <w:r>
        <w:t>a</w:t>
      </w:r>
      <w:r w:rsidR="007F67BA">
        <w:t xml:space="preserve">pplication </w:t>
      </w:r>
      <w:r>
        <w:t>f</w:t>
      </w:r>
      <w:r w:rsidR="007F67BA">
        <w:t xml:space="preserve">orm </w:t>
      </w:r>
      <w:r>
        <w:t>on</w:t>
      </w:r>
      <w:r w:rsidR="007F67BA">
        <w:t xml:space="preserve"> the </w:t>
      </w:r>
      <w:hyperlink r:id="rId15" w:history="1">
        <w:r w:rsidR="007F67BA" w:rsidRPr="006C5B40">
          <w:rPr>
            <w:rStyle w:val="Hyperlink"/>
          </w:rPr>
          <w:t>Youth Central website</w:t>
        </w:r>
      </w:hyperlink>
      <w:r w:rsidR="007F67BA">
        <w:t xml:space="preserve"> </w:t>
      </w:r>
      <w:r>
        <w:t>&lt;</w:t>
      </w:r>
      <w:r w:rsidR="007F67BA" w:rsidRPr="006C5B40">
        <w:t>www.youthcentral.vic.gov.au</w:t>
      </w:r>
      <w:r>
        <w:t>&gt;</w:t>
      </w:r>
      <w:r w:rsidR="007F67BA" w:rsidRPr="006C5B40">
        <w:t>.</w:t>
      </w:r>
      <w:r w:rsidR="007F67BA" w:rsidRPr="007B2E7F">
        <w:rPr>
          <w:color w:val="FF0000"/>
        </w:rPr>
        <w:t xml:space="preserve"> </w:t>
      </w:r>
    </w:p>
    <w:p w14:paraId="2281466D" w14:textId="77777777" w:rsidR="007F67BA" w:rsidRPr="00F123C0" w:rsidRDefault="007F67BA" w:rsidP="007F67BA">
      <w:pPr>
        <w:pStyle w:val="DHHSbody"/>
      </w:pPr>
      <w:r w:rsidRPr="00BD4A82">
        <w:t xml:space="preserve">Successful </w:t>
      </w:r>
      <w:r w:rsidR="00671F5B">
        <w:t xml:space="preserve">programs </w:t>
      </w:r>
      <w:r w:rsidRPr="00BD4A82">
        <w:t xml:space="preserve">are expected to be delivered over </w:t>
      </w:r>
      <w:r w:rsidR="00F4187E">
        <w:t>four</w:t>
      </w:r>
      <w:r w:rsidR="005864A6" w:rsidRPr="00BD4A82">
        <w:t xml:space="preserve"> </w:t>
      </w:r>
      <w:r w:rsidRPr="00BD4A82">
        <w:t>years</w:t>
      </w:r>
      <w:r w:rsidR="00BD5D1E">
        <w:t xml:space="preserve">. </w:t>
      </w:r>
    </w:p>
    <w:p w14:paraId="5B59A502" w14:textId="77777777" w:rsidR="0040768E" w:rsidRDefault="0040768E" w:rsidP="00736634">
      <w:pPr>
        <w:pStyle w:val="Heading1"/>
      </w:pPr>
      <w:r>
        <w:br w:type="page"/>
      </w:r>
    </w:p>
    <w:p w14:paraId="547782E9" w14:textId="7ABDB870" w:rsidR="007F67BA" w:rsidRPr="00B02293" w:rsidRDefault="007F67BA" w:rsidP="00736634">
      <w:pPr>
        <w:pStyle w:val="Heading1"/>
        <w:rPr>
          <w:b/>
        </w:rPr>
      </w:pPr>
      <w:r w:rsidRPr="00B02293">
        <w:lastRenderedPageBreak/>
        <w:t xml:space="preserve">More information </w:t>
      </w:r>
    </w:p>
    <w:p w14:paraId="75158F98" w14:textId="0FC9E3CD" w:rsidR="00C44154" w:rsidRDefault="007F67BA" w:rsidP="0040768E">
      <w:pPr>
        <w:pStyle w:val="DHHSbody"/>
      </w:pPr>
      <w:r w:rsidRPr="007F67BA">
        <w:t>For more information</w:t>
      </w:r>
      <w:r w:rsidR="00C44154">
        <w:t xml:space="preserve"> </w:t>
      </w:r>
      <w:r w:rsidRPr="007F67BA">
        <w:t>please contact</w:t>
      </w:r>
      <w:r w:rsidR="00736096">
        <w:t xml:space="preserve"> either</w:t>
      </w:r>
      <w:r w:rsidR="00C44154">
        <w:t xml:space="preserve"> </w:t>
      </w:r>
      <w:r w:rsidR="0040768E">
        <w:t xml:space="preserve">Lucy </w:t>
      </w:r>
      <w:proofErr w:type="spellStart"/>
      <w:r w:rsidR="0040768E">
        <w:t>Benbow</w:t>
      </w:r>
      <w:proofErr w:type="spellEnd"/>
      <w:r w:rsidR="00C44154">
        <w:t xml:space="preserve"> or </w:t>
      </w:r>
      <w:proofErr w:type="spellStart"/>
      <w:r w:rsidR="00C44154">
        <w:t>Shirana</w:t>
      </w:r>
      <w:proofErr w:type="spellEnd"/>
      <w:r w:rsidR="00C44154">
        <w:t xml:space="preserve"> Nash</w:t>
      </w:r>
      <w:r w:rsidR="0040768E">
        <w:t>:</w:t>
      </w:r>
    </w:p>
    <w:p w14:paraId="5255AEB2" w14:textId="74DB5C93" w:rsidR="00C44154" w:rsidRPr="006C5B40" w:rsidRDefault="00942461" w:rsidP="006C5B40">
      <w:pPr>
        <w:pStyle w:val="DHHSbullet1"/>
      </w:pPr>
      <w:hyperlink r:id="rId16" w:history="1">
        <w:r w:rsidR="00C44154" w:rsidRPr="00C44154">
          <w:rPr>
            <w:rStyle w:val="Hyperlink"/>
          </w:rPr>
          <w:t>e</w:t>
        </w:r>
        <w:r w:rsidR="00C44154" w:rsidRPr="006C5B40">
          <w:rPr>
            <w:rStyle w:val="Hyperlink"/>
          </w:rPr>
          <w:t>mail Lucy Benbow</w:t>
        </w:r>
      </w:hyperlink>
      <w:r w:rsidR="00C44154" w:rsidRPr="00BF6DD5">
        <w:t xml:space="preserve"> &lt;</w:t>
      </w:r>
      <w:r w:rsidR="00C44154" w:rsidRPr="006C5B40">
        <w:t>lucy.benbow@dhhs.vic.gov.au</w:t>
      </w:r>
      <w:r w:rsidR="00C44154" w:rsidRPr="00BF6DD5">
        <w:rPr>
          <w:rStyle w:val="Hyperlink"/>
          <w:color w:val="auto"/>
          <w:u w:val="none"/>
        </w:rPr>
        <w:t>&gt;</w:t>
      </w:r>
      <w:r w:rsidR="008B525A" w:rsidRPr="00BF6DD5">
        <w:t xml:space="preserve"> </w:t>
      </w:r>
      <w:r w:rsidR="00C44154">
        <w:br/>
      </w:r>
      <w:r w:rsidR="007F67BA" w:rsidRPr="00BF6DD5">
        <w:t xml:space="preserve">or telephone </w:t>
      </w:r>
      <w:r w:rsidR="007F67BA" w:rsidRPr="006C5B40">
        <w:t xml:space="preserve">(03) 9096 </w:t>
      </w:r>
      <w:r w:rsidR="00736096" w:rsidRPr="006C5B40">
        <w:t>1463</w:t>
      </w:r>
    </w:p>
    <w:p w14:paraId="07E61125" w14:textId="1E7B722F" w:rsidR="00B2752E" w:rsidRPr="006C5B40" w:rsidRDefault="00942461" w:rsidP="006C5B40">
      <w:pPr>
        <w:pStyle w:val="DHHSbullet1"/>
      </w:pPr>
      <w:hyperlink r:id="rId17" w:history="1">
        <w:r w:rsidR="00C44154" w:rsidRPr="00C44154">
          <w:rPr>
            <w:rStyle w:val="Hyperlink"/>
          </w:rPr>
          <w:t>e</w:t>
        </w:r>
        <w:r w:rsidR="00C44154" w:rsidRPr="006C5B40">
          <w:rPr>
            <w:rStyle w:val="Hyperlink"/>
          </w:rPr>
          <w:t>mail Shirana Nash</w:t>
        </w:r>
      </w:hyperlink>
      <w:r w:rsidR="00C44154" w:rsidRPr="00BF6DD5">
        <w:t xml:space="preserve"> &lt;</w:t>
      </w:r>
      <w:r w:rsidR="00C44154" w:rsidRPr="006C5B40">
        <w:t>shirana.nash@dhhs.vic.gov.au</w:t>
      </w:r>
      <w:r w:rsidR="00C44154" w:rsidRPr="00BF6DD5">
        <w:rPr>
          <w:rStyle w:val="Hyperlink"/>
          <w:color w:val="auto"/>
          <w:u w:val="none"/>
        </w:rPr>
        <w:t>&gt;</w:t>
      </w:r>
      <w:r w:rsidR="008B525A" w:rsidRPr="00BF6DD5">
        <w:t xml:space="preserve"> </w:t>
      </w:r>
      <w:r w:rsidR="00C44154">
        <w:br/>
      </w:r>
      <w:r w:rsidR="008B525A" w:rsidRPr="00BF6DD5">
        <w:t xml:space="preserve">or </w:t>
      </w:r>
      <w:r w:rsidR="00736096" w:rsidRPr="00BF6DD5">
        <w:t xml:space="preserve">telephone (03) 9096 </w:t>
      </w:r>
      <w:r w:rsidR="008B525A" w:rsidRPr="006C5B40">
        <w:t>7390.</w:t>
      </w:r>
    </w:p>
    <w:p w14:paraId="1485D1A0" w14:textId="77777777" w:rsidR="00BF6DD5" w:rsidRDefault="00BF6DD5" w:rsidP="006C5B40">
      <w:pPr>
        <w:pStyle w:val="DHHSbody"/>
      </w:pPr>
    </w:p>
    <w:p w14:paraId="0EB2C85F" w14:textId="7B1720ED" w:rsidR="0040768E" w:rsidRPr="00254F58" w:rsidRDefault="0040768E" w:rsidP="006C5B40">
      <w:pPr>
        <w:pStyle w:val="DHHSaccessibilitypara"/>
        <w:pBdr>
          <w:top w:val="single" w:sz="4" w:space="1" w:color="auto"/>
        </w:pBdr>
      </w:pPr>
      <w:r w:rsidRPr="00254F58">
        <w:t xml:space="preserve">To receive this publication in </w:t>
      </w:r>
      <w:r w:rsidRPr="00770F37">
        <w:t>an</w:t>
      </w:r>
      <w:r w:rsidRPr="00254F58">
        <w:t xml:space="preserve"> accessible format phone </w:t>
      </w:r>
      <w:r w:rsidR="00C44154">
        <w:t xml:space="preserve">03 </w:t>
      </w:r>
      <w:r w:rsidRPr="006C5B40">
        <w:t xml:space="preserve">9096 </w:t>
      </w:r>
      <w:r w:rsidR="009816AF">
        <w:t>7390</w:t>
      </w:r>
      <w:r w:rsidRPr="00254F58">
        <w:t>, using the National Relay Service 13 36 77 if required</w:t>
      </w:r>
      <w:r>
        <w:t>.</w:t>
      </w:r>
    </w:p>
    <w:p w14:paraId="7BBDA386" w14:textId="77777777" w:rsidR="0040768E" w:rsidRPr="00254F58" w:rsidRDefault="0040768E" w:rsidP="0040768E">
      <w:pPr>
        <w:pStyle w:val="DHHSbody"/>
      </w:pPr>
      <w:r w:rsidRPr="00254F58">
        <w:t>Authorised and published by the Victorian Governmen</w:t>
      </w:r>
      <w:r>
        <w:t>t, 1 Treasury Place, Melbourne.</w:t>
      </w:r>
    </w:p>
    <w:p w14:paraId="353742AB" w14:textId="0AF52EC2" w:rsidR="0040768E" w:rsidRPr="0040768E" w:rsidRDefault="0040768E" w:rsidP="0040768E">
      <w:pPr>
        <w:pStyle w:val="DHHSbody"/>
      </w:pPr>
      <w:r w:rsidRPr="00254F58">
        <w:t xml:space="preserve">© State of </w:t>
      </w:r>
      <w:r>
        <w:t>Victoria, Department of Health and</w:t>
      </w:r>
      <w:r w:rsidRPr="00254F58">
        <w:t xml:space="preserve"> Human Services</w:t>
      </w:r>
      <w:r w:rsidRPr="00BA3F8D">
        <w:rPr>
          <w:color w:val="008950"/>
        </w:rPr>
        <w:t xml:space="preserve"> </w:t>
      </w:r>
      <w:r w:rsidRPr="0040768E">
        <w:t>May 2018.</w:t>
      </w:r>
    </w:p>
    <w:p w14:paraId="1B8F0794" w14:textId="03C8329A" w:rsidR="0040768E" w:rsidRPr="00906490" w:rsidRDefault="0040768E" w:rsidP="0040768E">
      <w:pPr>
        <w:pStyle w:val="DHHSbody"/>
      </w:pPr>
      <w:r w:rsidRPr="00254F58">
        <w:rPr>
          <w:szCs w:val="19"/>
        </w:rPr>
        <w:t>Available</w:t>
      </w:r>
      <w:r w:rsidR="00BF6DD5">
        <w:rPr>
          <w:szCs w:val="19"/>
        </w:rPr>
        <w:t xml:space="preserve"> on the </w:t>
      </w:r>
      <w:hyperlink r:id="rId18" w:history="1">
        <w:r w:rsidR="00BF6DD5" w:rsidRPr="00CA40B9">
          <w:rPr>
            <w:rStyle w:val="Hyperlink"/>
          </w:rPr>
          <w:t>Youth Central website</w:t>
        </w:r>
      </w:hyperlink>
      <w:r w:rsidR="00BF6DD5">
        <w:t xml:space="preserve"> &lt;</w:t>
      </w:r>
      <w:r w:rsidR="00BF6DD5" w:rsidRPr="00CA40B9">
        <w:t>www.youthcentral.vic.gov.au</w:t>
      </w:r>
      <w:r w:rsidR="00BF6DD5">
        <w:t>&gt;</w:t>
      </w:r>
      <w:r w:rsidR="00BF6DD5" w:rsidRPr="00CA40B9">
        <w:t>.</w:t>
      </w:r>
      <w:r w:rsidR="00BF6DD5" w:rsidRPr="007B2E7F">
        <w:rPr>
          <w:color w:val="FF0000"/>
        </w:rPr>
        <w:t xml:space="preserve"> </w:t>
      </w:r>
    </w:p>
    <w:sectPr w:rsidR="0040768E" w:rsidRPr="00906490" w:rsidSect="007D09C6">
      <w:headerReference w:type="default" r:id="rId19"/>
      <w:type w:val="continuous"/>
      <w:pgSz w:w="11906" w:h="16838" w:code="9"/>
      <w:pgMar w:top="1135" w:right="851" w:bottom="851" w:left="851" w:header="567" w:footer="510"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4E118" w14:textId="77777777" w:rsidR="007F67BA" w:rsidRDefault="007F67BA">
      <w:r>
        <w:separator/>
      </w:r>
    </w:p>
  </w:endnote>
  <w:endnote w:type="continuationSeparator" w:id="0">
    <w:p w14:paraId="16DB54B1" w14:textId="77777777" w:rsidR="007F67BA" w:rsidRDefault="007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F964" w14:textId="1277CC43" w:rsidR="009D70A4" w:rsidRPr="00F65AA9" w:rsidRDefault="00A65631" w:rsidP="0051568D">
    <w:pPr>
      <w:pStyle w:val="DHHSfooter"/>
    </w:pPr>
    <w:r>
      <w:rPr>
        <w:noProof/>
        <w:lang w:eastAsia="en-AU"/>
      </w:rPr>
      <w:drawing>
        <wp:anchor distT="0" distB="0" distL="114300" distR="114300" simplePos="0" relativeHeight="251657728" behindDoc="0" locked="1" layoutInCell="0" allowOverlap="1" wp14:anchorId="5703C794" wp14:editId="18E3E54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0A1A" w14:textId="00920569" w:rsidR="00663D3E" w:rsidRPr="00F65AA9" w:rsidRDefault="00663D3E" w:rsidP="00AD1449">
    <w:pPr>
      <w:pStyle w:val="DHHSfooter"/>
    </w:pPr>
    <w:r>
      <w:t>Funding guidelines – Empower Youth initiative</w:t>
    </w:r>
    <w:r w:rsidRPr="00A11421">
      <w:tab/>
    </w:r>
    <w:r w:rsidRPr="00A11421">
      <w:fldChar w:fldCharType="begin"/>
    </w:r>
    <w:r w:rsidRPr="00A11421">
      <w:instrText xml:space="preserve"> PAGE </w:instrText>
    </w:r>
    <w:r w:rsidRPr="00A11421">
      <w:fldChar w:fldCharType="separate"/>
    </w:r>
    <w:r w:rsidR="00942461">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292A1" w14:textId="77777777" w:rsidR="007F67BA" w:rsidRDefault="007F67BA" w:rsidP="002862F1">
      <w:pPr>
        <w:spacing w:before="120"/>
      </w:pPr>
      <w:r>
        <w:separator/>
      </w:r>
    </w:p>
  </w:footnote>
  <w:footnote w:type="continuationSeparator" w:id="0">
    <w:p w14:paraId="4E493DAA" w14:textId="77777777" w:rsidR="007F67BA" w:rsidRDefault="007F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E37B" w14:textId="77777777" w:rsidR="009D70A4" w:rsidRPr="0051568D" w:rsidRDefault="009D70A4" w:rsidP="0051568D">
    <w:pPr>
      <w:pStyle w:val="DHHSheader"/>
    </w:pPr>
  </w:p>
  <w:p w14:paraId="3BD9D481" w14:textId="77777777" w:rsidR="009D70A4" w:rsidRDefault="009D70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169E6079"/>
    <w:multiLevelType w:val="hybridMultilevel"/>
    <w:tmpl w:val="B552A16A"/>
    <w:lvl w:ilvl="0" w:tplc="4B5099C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A561625"/>
    <w:multiLevelType w:val="hybridMultilevel"/>
    <w:tmpl w:val="81B697E6"/>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7C141EF"/>
    <w:multiLevelType w:val="hybridMultilevel"/>
    <w:tmpl w:val="5358B6D0"/>
    <w:lvl w:ilvl="0" w:tplc="4B5099C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44577CCE"/>
    <w:multiLevelType w:val="hybridMultilevel"/>
    <w:tmpl w:val="89421CC8"/>
    <w:lvl w:ilvl="0" w:tplc="4B5099C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D5F4BD7"/>
    <w:multiLevelType w:val="hybridMultilevel"/>
    <w:tmpl w:val="4ED00C86"/>
    <w:lvl w:ilvl="0" w:tplc="0C090019">
      <w:start w:val="1"/>
      <w:numFmt w:val="low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DD16B98"/>
    <w:multiLevelType w:val="hybridMultilevel"/>
    <w:tmpl w:val="18305F3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29B27B3"/>
    <w:multiLevelType w:val="hybridMultilevel"/>
    <w:tmpl w:val="D8D4F13E"/>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9B81575"/>
    <w:multiLevelType w:val="hybridMultilevel"/>
    <w:tmpl w:val="A770E10C"/>
    <w:lvl w:ilvl="0" w:tplc="4B5099C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77C19"/>
    <w:multiLevelType w:val="hybridMultilevel"/>
    <w:tmpl w:val="1E5C1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5369EC"/>
    <w:multiLevelType w:val="hybridMultilevel"/>
    <w:tmpl w:val="820C6C4E"/>
    <w:lvl w:ilvl="0" w:tplc="4B5099C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0"/>
  </w:num>
  <w:num w:numId="10">
    <w:abstractNumId w:val="11"/>
  </w:num>
  <w:num w:numId="11">
    <w:abstractNumId w:val="9"/>
  </w:num>
  <w:num w:numId="12">
    <w:abstractNumId w:val="4"/>
  </w:num>
  <w:num w:numId="13">
    <w:abstractNumId w:val="14"/>
  </w:num>
  <w:num w:numId="14">
    <w:abstractNumId w:val="7"/>
  </w:num>
  <w:num w:numId="15">
    <w:abstractNumId w:val="5"/>
  </w:num>
  <w:num w:numId="16">
    <w:abstractNumId w:val="12"/>
  </w:num>
  <w:num w:numId="17">
    <w:abstractNumId w:val="3"/>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mine Ingram (VICMIN)">
    <w15:presenceInfo w15:providerId="AD" w15:userId="S-1-5-21-3009471437-2678356326-1117381816-12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BA"/>
    <w:rsid w:val="00002026"/>
    <w:rsid w:val="000072B6"/>
    <w:rsid w:val="0001021B"/>
    <w:rsid w:val="00011D89"/>
    <w:rsid w:val="000137F7"/>
    <w:rsid w:val="00024D89"/>
    <w:rsid w:val="000250B6"/>
    <w:rsid w:val="00033D81"/>
    <w:rsid w:val="00041BF0"/>
    <w:rsid w:val="0004294D"/>
    <w:rsid w:val="00043E37"/>
    <w:rsid w:val="0004536B"/>
    <w:rsid w:val="00046B68"/>
    <w:rsid w:val="000527DD"/>
    <w:rsid w:val="000578B2"/>
    <w:rsid w:val="00060959"/>
    <w:rsid w:val="000663CD"/>
    <w:rsid w:val="0006782C"/>
    <w:rsid w:val="00071F22"/>
    <w:rsid w:val="000733FE"/>
    <w:rsid w:val="00074219"/>
    <w:rsid w:val="00074ED5"/>
    <w:rsid w:val="0009113B"/>
    <w:rsid w:val="00094DA3"/>
    <w:rsid w:val="00096CD1"/>
    <w:rsid w:val="000A012C"/>
    <w:rsid w:val="000A0EB9"/>
    <w:rsid w:val="000A186C"/>
    <w:rsid w:val="000A6666"/>
    <w:rsid w:val="000B4A89"/>
    <w:rsid w:val="000B543D"/>
    <w:rsid w:val="000B5BF7"/>
    <w:rsid w:val="000B6BC8"/>
    <w:rsid w:val="000C42EA"/>
    <w:rsid w:val="000C4546"/>
    <w:rsid w:val="000D1242"/>
    <w:rsid w:val="000D49A6"/>
    <w:rsid w:val="000E3CC7"/>
    <w:rsid w:val="000E6BD4"/>
    <w:rsid w:val="000F1F1E"/>
    <w:rsid w:val="000F2259"/>
    <w:rsid w:val="0010392D"/>
    <w:rsid w:val="0010447F"/>
    <w:rsid w:val="00104FE3"/>
    <w:rsid w:val="00120BD3"/>
    <w:rsid w:val="00122FEA"/>
    <w:rsid w:val="001232BD"/>
    <w:rsid w:val="00124ED5"/>
    <w:rsid w:val="001308BC"/>
    <w:rsid w:val="001447B3"/>
    <w:rsid w:val="00152073"/>
    <w:rsid w:val="0015642C"/>
    <w:rsid w:val="00157892"/>
    <w:rsid w:val="00161939"/>
    <w:rsid w:val="00161AA0"/>
    <w:rsid w:val="00162093"/>
    <w:rsid w:val="001728F0"/>
    <w:rsid w:val="001771DD"/>
    <w:rsid w:val="00177995"/>
    <w:rsid w:val="00177A8C"/>
    <w:rsid w:val="0018089D"/>
    <w:rsid w:val="00186B33"/>
    <w:rsid w:val="00192F9D"/>
    <w:rsid w:val="00196EB8"/>
    <w:rsid w:val="00196EFB"/>
    <w:rsid w:val="001979FF"/>
    <w:rsid w:val="00197B17"/>
    <w:rsid w:val="001A3ACE"/>
    <w:rsid w:val="001C277E"/>
    <w:rsid w:val="001C2A72"/>
    <w:rsid w:val="001D0B75"/>
    <w:rsid w:val="001D357B"/>
    <w:rsid w:val="001D3C09"/>
    <w:rsid w:val="001D44E8"/>
    <w:rsid w:val="001D60EC"/>
    <w:rsid w:val="001E44DF"/>
    <w:rsid w:val="001E68A5"/>
    <w:rsid w:val="001E6BB0"/>
    <w:rsid w:val="001F1C7F"/>
    <w:rsid w:val="001F3826"/>
    <w:rsid w:val="001F6E46"/>
    <w:rsid w:val="001F7C91"/>
    <w:rsid w:val="00206463"/>
    <w:rsid w:val="00206F2F"/>
    <w:rsid w:val="0021053D"/>
    <w:rsid w:val="00210A92"/>
    <w:rsid w:val="00216C03"/>
    <w:rsid w:val="00220C04"/>
    <w:rsid w:val="0022278D"/>
    <w:rsid w:val="00226AE2"/>
    <w:rsid w:val="0022701F"/>
    <w:rsid w:val="002333F5"/>
    <w:rsid w:val="00233724"/>
    <w:rsid w:val="002432E1"/>
    <w:rsid w:val="00246207"/>
    <w:rsid w:val="00246C5E"/>
    <w:rsid w:val="00251343"/>
    <w:rsid w:val="00252725"/>
    <w:rsid w:val="00254F58"/>
    <w:rsid w:val="002620BC"/>
    <w:rsid w:val="00262802"/>
    <w:rsid w:val="00263A90"/>
    <w:rsid w:val="0026408B"/>
    <w:rsid w:val="00266703"/>
    <w:rsid w:val="00267C3E"/>
    <w:rsid w:val="002709BB"/>
    <w:rsid w:val="002763B3"/>
    <w:rsid w:val="002802E3"/>
    <w:rsid w:val="0028213D"/>
    <w:rsid w:val="002862F1"/>
    <w:rsid w:val="00291373"/>
    <w:rsid w:val="0029597D"/>
    <w:rsid w:val="002962C3"/>
    <w:rsid w:val="002969D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30F9"/>
    <w:rsid w:val="002F5F31"/>
    <w:rsid w:val="002F5F46"/>
    <w:rsid w:val="00302216"/>
    <w:rsid w:val="00303E53"/>
    <w:rsid w:val="00306E5F"/>
    <w:rsid w:val="00307E14"/>
    <w:rsid w:val="00314054"/>
    <w:rsid w:val="00316F27"/>
    <w:rsid w:val="00326831"/>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05DD"/>
    <w:rsid w:val="003B15E6"/>
    <w:rsid w:val="003C2045"/>
    <w:rsid w:val="003C43A1"/>
    <w:rsid w:val="003C451D"/>
    <w:rsid w:val="003C4FC0"/>
    <w:rsid w:val="003C55F4"/>
    <w:rsid w:val="003C7A3F"/>
    <w:rsid w:val="003D2766"/>
    <w:rsid w:val="003D3E8F"/>
    <w:rsid w:val="003D6475"/>
    <w:rsid w:val="003F0445"/>
    <w:rsid w:val="003F0CF0"/>
    <w:rsid w:val="003F14B1"/>
    <w:rsid w:val="003F3289"/>
    <w:rsid w:val="00401FCF"/>
    <w:rsid w:val="0040295B"/>
    <w:rsid w:val="00406285"/>
    <w:rsid w:val="0040768E"/>
    <w:rsid w:val="00407CF2"/>
    <w:rsid w:val="004148F9"/>
    <w:rsid w:val="0042084E"/>
    <w:rsid w:val="00421EEF"/>
    <w:rsid w:val="00424D65"/>
    <w:rsid w:val="004349C1"/>
    <w:rsid w:val="00442C6C"/>
    <w:rsid w:val="00443CBE"/>
    <w:rsid w:val="00443E8A"/>
    <w:rsid w:val="004441BC"/>
    <w:rsid w:val="004468B4"/>
    <w:rsid w:val="0045230A"/>
    <w:rsid w:val="0045461D"/>
    <w:rsid w:val="00457337"/>
    <w:rsid w:val="0047312F"/>
    <w:rsid w:val="0047372D"/>
    <w:rsid w:val="004743DD"/>
    <w:rsid w:val="00474CEA"/>
    <w:rsid w:val="00476974"/>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1C2"/>
    <w:rsid w:val="004D1B22"/>
    <w:rsid w:val="004D36F2"/>
    <w:rsid w:val="004E138F"/>
    <w:rsid w:val="004E3C41"/>
    <w:rsid w:val="004E4649"/>
    <w:rsid w:val="004E5C2B"/>
    <w:rsid w:val="004F00DD"/>
    <w:rsid w:val="004F2133"/>
    <w:rsid w:val="004F55F1"/>
    <w:rsid w:val="004F6936"/>
    <w:rsid w:val="00503DC6"/>
    <w:rsid w:val="00506F5D"/>
    <w:rsid w:val="005126D0"/>
    <w:rsid w:val="0051568D"/>
    <w:rsid w:val="00525685"/>
    <w:rsid w:val="00526C15"/>
    <w:rsid w:val="00536499"/>
    <w:rsid w:val="0054124A"/>
    <w:rsid w:val="00543903"/>
    <w:rsid w:val="00543F11"/>
    <w:rsid w:val="00547A95"/>
    <w:rsid w:val="00572031"/>
    <w:rsid w:val="00576E84"/>
    <w:rsid w:val="00582B8C"/>
    <w:rsid w:val="005864A6"/>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2CE8"/>
    <w:rsid w:val="00613414"/>
    <w:rsid w:val="0062408D"/>
    <w:rsid w:val="006240CC"/>
    <w:rsid w:val="00627DA7"/>
    <w:rsid w:val="00633A9A"/>
    <w:rsid w:val="006358B4"/>
    <w:rsid w:val="006419AA"/>
    <w:rsid w:val="00644B7E"/>
    <w:rsid w:val="006454E6"/>
    <w:rsid w:val="00646A68"/>
    <w:rsid w:val="0065092E"/>
    <w:rsid w:val="0065345E"/>
    <w:rsid w:val="006557A7"/>
    <w:rsid w:val="00656290"/>
    <w:rsid w:val="006621D7"/>
    <w:rsid w:val="0066302A"/>
    <w:rsid w:val="00663D3E"/>
    <w:rsid w:val="00663E1D"/>
    <w:rsid w:val="00665D97"/>
    <w:rsid w:val="00667D02"/>
    <w:rsid w:val="00670597"/>
    <w:rsid w:val="006706D0"/>
    <w:rsid w:val="00671F5B"/>
    <w:rsid w:val="00677574"/>
    <w:rsid w:val="0068454C"/>
    <w:rsid w:val="00691B62"/>
    <w:rsid w:val="0069236A"/>
    <w:rsid w:val="006933B5"/>
    <w:rsid w:val="00693D14"/>
    <w:rsid w:val="006A18C2"/>
    <w:rsid w:val="006A36D1"/>
    <w:rsid w:val="006B077C"/>
    <w:rsid w:val="006B6803"/>
    <w:rsid w:val="006C5B40"/>
    <w:rsid w:val="006D2A3F"/>
    <w:rsid w:val="006D2FBC"/>
    <w:rsid w:val="006E138B"/>
    <w:rsid w:val="006F1FDC"/>
    <w:rsid w:val="007013EF"/>
    <w:rsid w:val="007173CA"/>
    <w:rsid w:val="007216AA"/>
    <w:rsid w:val="00721AB5"/>
    <w:rsid w:val="00721DEF"/>
    <w:rsid w:val="007243D8"/>
    <w:rsid w:val="00724A43"/>
    <w:rsid w:val="007346E4"/>
    <w:rsid w:val="00736096"/>
    <w:rsid w:val="00736634"/>
    <w:rsid w:val="00740F22"/>
    <w:rsid w:val="00741F1A"/>
    <w:rsid w:val="007450F8"/>
    <w:rsid w:val="0074696E"/>
    <w:rsid w:val="00750135"/>
    <w:rsid w:val="00750EC2"/>
    <w:rsid w:val="00752B28"/>
    <w:rsid w:val="00754E36"/>
    <w:rsid w:val="00763139"/>
    <w:rsid w:val="007709DF"/>
    <w:rsid w:val="00770F37"/>
    <w:rsid w:val="007711A0"/>
    <w:rsid w:val="00772D5E"/>
    <w:rsid w:val="00776928"/>
    <w:rsid w:val="00785677"/>
    <w:rsid w:val="00786F16"/>
    <w:rsid w:val="0079181B"/>
    <w:rsid w:val="00796C80"/>
    <w:rsid w:val="00796E20"/>
    <w:rsid w:val="00797C32"/>
    <w:rsid w:val="007A43A1"/>
    <w:rsid w:val="007B0914"/>
    <w:rsid w:val="007B1374"/>
    <w:rsid w:val="007B2E7F"/>
    <w:rsid w:val="007B589F"/>
    <w:rsid w:val="007B6186"/>
    <w:rsid w:val="007B73BC"/>
    <w:rsid w:val="007C20B9"/>
    <w:rsid w:val="007C7301"/>
    <w:rsid w:val="007C7859"/>
    <w:rsid w:val="007D0967"/>
    <w:rsid w:val="007D09C6"/>
    <w:rsid w:val="007D2BDE"/>
    <w:rsid w:val="007D2FB6"/>
    <w:rsid w:val="007D6E2D"/>
    <w:rsid w:val="007E0DE2"/>
    <w:rsid w:val="007E3B98"/>
    <w:rsid w:val="007F31B6"/>
    <w:rsid w:val="007F546C"/>
    <w:rsid w:val="007F625F"/>
    <w:rsid w:val="007F665E"/>
    <w:rsid w:val="007F67BA"/>
    <w:rsid w:val="00800412"/>
    <w:rsid w:val="0080389A"/>
    <w:rsid w:val="008055D5"/>
    <w:rsid w:val="0080587B"/>
    <w:rsid w:val="00806468"/>
    <w:rsid w:val="00812B76"/>
    <w:rsid w:val="00812B9F"/>
    <w:rsid w:val="008155F0"/>
    <w:rsid w:val="00816735"/>
    <w:rsid w:val="008179F7"/>
    <w:rsid w:val="00820141"/>
    <w:rsid w:val="00820E0C"/>
    <w:rsid w:val="008338A2"/>
    <w:rsid w:val="00841AA9"/>
    <w:rsid w:val="00853EE4"/>
    <w:rsid w:val="00855535"/>
    <w:rsid w:val="0086255E"/>
    <w:rsid w:val="008633F0"/>
    <w:rsid w:val="00867D9D"/>
    <w:rsid w:val="00870CFF"/>
    <w:rsid w:val="00872E0A"/>
    <w:rsid w:val="008737D9"/>
    <w:rsid w:val="00875285"/>
    <w:rsid w:val="0087657F"/>
    <w:rsid w:val="00884B62"/>
    <w:rsid w:val="0088529C"/>
    <w:rsid w:val="00887903"/>
    <w:rsid w:val="0089270A"/>
    <w:rsid w:val="00893AF6"/>
    <w:rsid w:val="00894BC4"/>
    <w:rsid w:val="008A5B32"/>
    <w:rsid w:val="008B2EE4"/>
    <w:rsid w:val="008B4D3D"/>
    <w:rsid w:val="008B525A"/>
    <w:rsid w:val="008B57C7"/>
    <w:rsid w:val="008C2F92"/>
    <w:rsid w:val="008D2846"/>
    <w:rsid w:val="008D4236"/>
    <w:rsid w:val="008D462F"/>
    <w:rsid w:val="008D6DCF"/>
    <w:rsid w:val="008E4376"/>
    <w:rsid w:val="008E7A0A"/>
    <w:rsid w:val="00900719"/>
    <w:rsid w:val="009017AC"/>
    <w:rsid w:val="00903114"/>
    <w:rsid w:val="00904A1C"/>
    <w:rsid w:val="00905030"/>
    <w:rsid w:val="00906490"/>
    <w:rsid w:val="009111B2"/>
    <w:rsid w:val="00924AE1"/>
    <w:rsid w:val="009269B1"/>
    <w:rsid w:val="0092724D"/>
    <w:rsid w:val="00937BD9"/>
    <w:rsid w:val="00942461"/>
    <w:rsid w:val="00950E2C"/>
    <w:rsid w:val="00951D50"/>
    <w:rsid w:val="009525EB"/>
    <w:rsid w:val="00954874"/>
    <w:rsid w:val="00961400"/>
    <w:rsid w:val="00963646"/>
    <w:rsid w:val="00972819"/>
    <w:rsid w:val="00975354"/>
    <w:rsid w:val="00980667"/>
    <w:rsid w:val="009816AF"/>
    <w:rsid w:val="00983421"/>
    <w:rsid w:val="00984F8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1ABA"/>
    <w:rsid w:val="00A22229"/>
    <w:rsid w:val="00A3067A"/>
    <w:rsid w:val="00A44882"/>
    <w:rsid w:val="00A45124"/>
    <w:rsid w:val="00A54715"/>
    <w:rsid w:val="00A6061C"/>
    <w:rsid w:val="00A62D44"/>
    <w:rsid w:val="00A65631"/>
    <w:rsid w:val="00A67263"/>
    <w:rsid w:val="00A7161C"/>
    <w:rsid w:val="00A77AA3"/>
    <w:rsid w:val="00A854EB"/>
    <w:rsid w:val="00A86FD0"/>
    <w:rsid w:val="00A872E5"/>
    <w:rsid w:val="00A90250"/>
    <w:rsid w:val="00A91406"/>
    <w:rsid w:val="00A96E65"/>
    <w:rsid w:val="00A97C72"/>
    <w:rsid w:val="00AA63D4"/>
    <w:rsid w:val="00AB06E8"/>
    <w:rsid w:val="00AB1CD3"/>
    <w:rsid w:val="00AB352F"/>
    <w:rsid w:val="00AC274B"/>
    <w:rsid w:val="00AC4764"/>
    <w:rsid w:val="00AC6D36"/>
    <w:rsid w:val="00AD0AAA"/>
    <w:rsid w:val="00AD0CBA"/>
    <w:rsid w:val="00AD1449"/>
    <w:rsid w:val="00AD26E2"/>
    <w:rsid w:val="00AD784C"/>
    <w:rsid w:val="00AE126A"/>
    <w:rsid w:val="00AE3005"/>
    <w:rsid w:val="00AE3BD5"/>
    <w:rsid w:val="00AE59A0"/>
    <w:rsid w:val="00AF0C57"/>
    <w:rsid w:val="00AF26F3"/>
    <w:rsid w:val="00AF4078"/>
    <w:rsid w:val="00AF5F04"/>
    <w:rsid w:val="00AF762A"/>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0315"/>
    <w:rsid w:val="00B431E8"/>
    <w:rsid w:val="00B45141"/>
    <w:rsid w:val="00B5273A"/>
    <w:rsid w:val="00B55679"/>
    <w:rsid w:val="00B57329"/>
    <w:rsid w:val="00B62B50"/>
    <w:rsid w:val="00B635B7"/>
    <w:rsid w:val="00B63AE8"/>
    <w:rsid w:val="00B65950"/>
    <w:rsid w:val="00B66D83"/>
    <w:rsid w:val="00B672C0"/>
    <w:rsid w:val="00B75646"/>
    <w:rsid w:val="00B80656"/>
    <w:rsid w:val="00B90729"/>
    <w:rsid w:val="00B907DA"/>
    <w:rsid w:val="00B950BC"/>
    <w:rsid w:val="00B9714C"/>
    <w:rsid w:val="00BA3F8D"/>
    <w:rsid w:val="00BB7A10"/>
    <w:rsid w:val="00BC705A"/>
    <w:rsid w:val="00BC7468"/>
    <w:rsid w:val="00BC7D4F"/>
    <w:rsid w:val="00BC7ED7"/>
    <w:rsid w:val="00BD2850"/>
    <w:rsid w:val="00BD5D1E"/>
    <w:rsid w:val="00BE28D2"/>
    <w:rsid w:val="00BE3055"/>
    <w:rsid w:val="00BE4738"/>
    <w:rsid w:val="00BE4A64"/>
    <w:rsid w:val="00BF1D71"/>
    <w:rsid w:val="00BF6DD5"/>
    <w:rsid w:val="00BF7F58"/>
    <w:rsid w:val="00C01381"/>
    <w:rsid w:val="00C079B8"/>
    <w:rsid w:val="00C123EA"/>
    <w:rsid w:val="00C12627"/>
    <w:rsid w:val="00C12A49"/>
    <w:rsid w:val="00C133EE"/>
    <w:rsid w:val="00C15F6D"/>
    <w:rsid w:val="00C2074B"/>
    <w:rsid w:val="00C27DE9"/>
    <w:rsid w:val="00C33388"/>
    <w:rsid w:val="00C35484"/>
    <w:rsid w:val="00C4173A"/>
    <w:rsid w:val="00C44154"/>
    <w:rsid w:val="00C54201"/>
    <w:rsid w:val="00C602FF"/>
    <w:rsid w:val="00C60E2D"/>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B642B"/>
    <w:rsid w:val="00CC0C72"/>
    <w:rsid w:val="00CC2BFD"/>
    <w:rsid w:val="00CD0778"/>
    <w:rsid w:val="00CD3476"/>
    <w:rsid w:val="00CD64DF"/>
    <w:rsid w:val="00CF240D"/>
    <w:rsid w:val="00CF2F50"/>
    <w:rsid w:val="00D02919"/>
    <w:rsid w:val="00D030EB"/>
    <w:rsid w:val="00D04C61"/>
    <w:rsid w:val="00D05B8D"/>
    <w:rsid w:val="00D065A2"/>
    <w:rsid w:val="00D07F00"/>
    <w:rsid w:val="00D126D9"/>
    <w:rsid w:val="00D17B72"/>
    <w:rsid w:val="00D3185C"/>
    <w:rsid w:val="00D33E72"/>
    <w:rsid w:val="00D35BD6"/>
    <w:rsid w:val="00D361B5"/>
    <w:rsid w:val="00D411A2"/>
    <w:rsid w:val="00D4606D"/>
    <w:rsid w:val="00D50B9C"/>
    <w:rsid w:val="00D52D73"/>
    <w:rsid w:val="00D52E58"/>
    <w:rsid w:val="00D607D3"/>
    <w:rsid w:val="00D714CC"/>
    <w:rsid w:val="00D74F8F"/>
    <w:rsid w:val="00D75EA7"/>
    <w:rsid w:val="00D81F21"/>
    <w:rsid w:val="00D946C9"/>
    <w:rsid w:val="00D95470"/>
    <w:rsid w:val="00DA0AEC"/>
    <w:rsid w:val="00DA2619"/>
    <w:rsid w:val="00DA4239"/>
    <w:rsid w:val="00DB0B61"/>
    <w:rsid w:val="00DC090B"/>
    <w:rsid w:val="00DC1679"/>
    <w:rsid w:val="00DC2CF1"/>
    <w:rsid w:val="00DC4FCF"/>
    <w:rsid w:val="00DC50E0"/>
    <w:rsid w:val="00DC5904"/>
    <w:rsid w:val="00DC6386"/>
    <w:rsid w:val="00DD1130"/>
    <w:rsid w:val="00DD1951"/>
    <w:rsid w:val="00DD6628"/>
    <w:rsid w:val="00DE3250"/>
    <w:rsid w:val="00DE6028"/>
    <w:rsid w:val="00DE78A3"/>
    <w:rsid w:val="00DF1A71"/>
    <w:rsid w:val="00DF68C7"/>
    <w:rsid w:val="00DF731A"/>
    <w:rsid w:val="00E066A6"/>
    <w:rsid w:val="00E170DC"/>
    <w:rsid w:val="00E26818"/>
    <w:rsid w:val="00E27FFC"/>
    <w:rsid w:val="00E30B15"/>
    <w:rsid w:val="00E40181"/>
    <w:rsid w:val="00E451A8"/>
    <w:rsid w:val="00E54503"/>
    <w:rsid w:val="00E56A01"/>
    <w:rsid w:val="00E629A1"/>
    <w:rsid w:val="00E6794C"/>
    <w:rsid w:val="00E71591"/>
    <w:rsid w:val="00E82C55"/>
    <w:rsid w:val="00E92AC3"/>
    <w:rsid w:val="00EA6E8D"/>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06DFE"/>
    <w:rsid w:val="00F11037"/>
    <w:rsid w:val="00F16F1B"/>
    <w:rsid w:val="00F250A9"/>
    <w:rsid w:val="00F27CED"/>
    <w:rsid w:val="00F30FF4"/>
    <w:rsid w:val="00F3122E"/>
    <w:rsid w:val="00F331AD"/>
    <w:rsid w:val="00F35287"/>
    <w:rsid w:val="00F4187E"/>
    <w:rsid w:val="00F43A37"/>
    <w:rsid w:val="00F4641B"/>
    <w:rsid w:val="00F46EB8"/>
    <w:rsid w:val="00F511E4"/>
    <w:rsid w:val="00F52D09"/>
    <w:rsid w:val="00F52E08"/>
    <w:rsid w:val="00F55B21"/>
    <w:rsid w:val="00F56EF6"/>
    <w:rsid w:val="00F61A9F"/>
    <w:rsid w:val="00F64696"/>
    <w:rsid w:val="00F65AA9"/>
    <w:rsid w:val="00F65BD9"/>
    <w:rsid w:val="00F6768F"/>
    <w:rsid w:val="00F72C2C"/>
    <w:rsid w:val="00F76CAB"/>
    <w:rsid w:val="00F772C6"/>
    <w:rsid w:val="00F815B5"/>
    <w:rsid w:val="00F85195"/>
    <w:rsid w:val="00F859CD"/>
    <w:rsid w:val="00F938BA"/>
    <w:rsid w:val="00F95563"/>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ED2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7F67BA"/>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3"/>
    <w:qFormat/>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Sbody">
    <w:name w:val="DHS body"/>
    <w:rsid w:val="007F67BA"/>
    <w:pPr>
      <w:spacing w:after="120" w:line="240" w:lineRule="atLeast"/>
    </w:pPr>
    <w:rPr>
      <w:rFonts w:ascii="Arial" w:eastAsia="Times" w:hAnsi="Arial"/>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79181B"/>
    <w:rPr>
      <w:rFonts w:ascii="Tahoma" w:hAnsi="Tahoma" w:cs="Tahoma"/>
      <w:sz w:val="16"/>
      <w:szCs w:val="16"/>
    </w:rPr>
  </w:style>
  <w:style w:type="character" w:customStyle="1" w:styleId="BalloonTextChar">
    <w:name w:val="Balloon Text Char"/>
    <w:basedOn w:val="DefaultParagraphFont"/>
    <w:link w:val="BalloonText"/>
    <w:uiPriority w:val="99"/>
    <w:semiHidden/>
    <w:rsid w:val="0079181B"/>
    <w:rPr>
      <w:rFonts w:ascii="Tahoma" w:hAnsi="Tahoma" w:cs="Tahoma"/>
      <w:sz w:val="16"/>
      <w:szCs w:val="16"/>
      <w:lang w:eastAsia="en-US"/>
    </w:rPr>
  </w:style>
  <w:style w:type="character" w:customStyle="1" w:styleId="HeaderChar">
    <w:name w:val="Header Char"/>
    <w:basedOn w:val="DefaultParagraphFont"/>
    <w:link w:val="Header"/>
    <w:uiPriority w:val="99"/>
    <w:rsid w:val="008179F7"/>
    <w:rPr>
      <w:rFonts w:ascii="Arial" w:hAnsi="Arial" w:cs="Arial"/>
      <w:sz w:val="18"/>
      <w:szCs w:val="18"/>
      <w:lang w:eastAsia="en-US"/>
    </w:rPr>
  </w:style>
  <w:style w:type="character" w:styleId="CommentReference">
    <w:name w:val="annotation reference"/>
    <w:basedOn w:val="DefaultParagraphFont"/>
    <w:uiPriority w:val="99"/>
    <w:semiHidden/>
    <w:unhideWhenUsed/>
    <w:rsid w:val="00F4187E"/>
    <w:rPr>
      <w:sz w:val="16"/>
      <w:szCs w:val="16"/>
    </w:rPr>
  </w:style>
  <w:style w:type="paragraph" w:styleId="CommentText">
    <w:name w:val="annotation text"/>
    <w:basedOn w:val="Normal"/>
    <w:link w:val="CommentTextChar"/>
    <w:uiPriority w:val="99"/>
    <w:semiHidden/>
    <w:unhideWhenUsed/>
    <w:rsid w:val="00F4187E"/>
  </w:style>
  <w:style w:type="character" w:customStyle="1" w:styleId="CommentTextChar">
    <w:name w:val="Comment Text Char"/>
    <w:basedOn w:val="DefaultParagraphFont"/>
    <w:link w:val="CommentText"/>
    <w:uiPriority w:val="99"/>
    <w:semiHidden/>
    <w:rsid w:val="00F4187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4187E"/>
    <w:rPr>
      <w:b/>
      <w:bCs/>
    </w:rPr>
  </w:style>
  <w:style w:type="character" w:customStyle="1" w:styleId="CommentSubjectChar">
    <w:name w:val="Comment Subject Char"/>
    <w:basedOn w:val="CommentTextChar"/>
    <w:link w:val="CommentSubject"/>
    <w:uiPriority w:val="99"/>
    <w:semiHidden/>
    <w:rsid w:val="00F4187E"/>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7F67BA"/>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3"/>
    <w:qFormat/>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Sbody">
    <w:name w:val="DHS body"/>
    <w:rsid w:val="007F67BA"/>
    <w:pPr>
      <w:spacing w:after="120" w:line="240" w:lineRule="atLeast"/>
    </w:pPr>
    <w:rPr>
      <w:rFonts w:ascii="Arial" w:eastAsia="Times" w:hAnsi="Arial"/>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79181B"/>
    <w:rPr>
      <w:rFonts w:ascii="Tahoma" w:hAnsi="Tahoma" w:cs="Tahoma"/>
      <w:sz w:val="16"/>
      <w:szCs w:val="16"/>
    </w:rPr>
  </w:style>
  <w:style w:type="character" w:customStyle="1" w:styleId="BalloonTextChar">
    <w:name w:val="Balloon Text Char"/>
    <w:basedOn w:val="DefaultParagraphFont"/>
    <w:link w:val="BalloonText"/>
    <w:uiPriority w:val="99"/>
    <w:semiHidden/>
    <w:rsid w:val="0079181B"/>
    <w:rPr>
      <w:rFonts w:ascii="Tahoma" w:hAnsi="Tahoma" w:cs="Tahoma"/>
      <w:sz w:val="16"/>
      <w:szCs w:val="16"/>
      <w:lang w:eastAsia="en-US"/>
    </w:rPr>
  </w:style>
  <w:style w:type="character" w:customStyle="1" w:styleId="HeaderChar">
    <w:name w:val="Header Char"/>
    <w:basedOn w:val="DefaultParagraphFont"/>
    <w:link w:val="Header"/>
    <w:uiPriority w:val="99"/>
    <w:rsid w:val="008179F7"/>
    <w:rPr>
      <w:rFonts w:ascii="Arial" w:hAnsi="Arial" w:cs="Arial"/>
      <w:sz w:val="18"/>
      <w:szCs w:val="18"/>
      <w:lang w:eastAsia="en-US"/>
    </w:rPr>
  </w:style>
  <w:style w:type="character" w:styleId="CommentReference">
    <w:name w:val="annotation reference"/>
    <w:basedOn w:val="DefaultParagraphFont"/>
    <w:uiPriority w:val="99"/>
    <w:semiHidden/>
    <w:unhideWhenUsed/>
    <w:rsid w:val="00F4187E"/>
    <w:rPr>
      <w:sz w:val="16"/>
      <w:szCs w:val="16"/>
    </w:rPr>
  </w:style>
  <w:style w:type="paragraph" w:styleId="CommentText">
    <w:name w:val="annotation text"/>
    <w:basedOn w:val="Normal"/>
    <w:link w:val="CommentTextChar"/>
    <w:uiPriority w:val="99"/>
    <w:semiHidden/>
    <w:unhideWhenUsed/>
    <w:rsid w:val="00F4187E"/>
  </w:style>
  <w:style w:type="character" w:customStyle="1" w:styleId="CommentTextChar">
    <w:name w:val="Comment Text Char"/>
    <w:basedOn w:val="DefaultParagraphFont"/>
    <w:link w:val="CommentText"/>
    <w:uiPriority w:val="99"/>
    <w:semiHidden/>
    <w:rsid w:val="00F4187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4187E"/>
    <w:rPr>
      <w:b/>
      <w:bCs/>
    </w:rPr>
  </w:style>
  <w:style w:type="character" w:customStyle="1" w:styleId="CommentSubjectChar">
    <w:name w:val="Comment Subject Char"/>
    <w:basedOn w:val="CommentTextChar"/>
    <w:link w:val="CommentSubject"/>
    <w:uiPriority w:val="99"/>
    <w:semiHidden/>
    <w:rsid w:val="00F4187E"/>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youthcentral.vic.gov.au/get-involved/youth-programs-and-events/empower-yout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hirana.nash@dhhs.vic.gov.au" TargetMode="External"/><Relationship Id="rId2" Type="http://schemas.openxmlformats.org/officeDocument/2006/relationships/styles" Target="styles.xml"/><Relationship Id="rId16" Type="http://schemas.openxmlformats.org/officeDocument/2006/relationships/hyperlink" Target="mailto:lucy.benbow@dhhs.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hcentral.vic.gov.au/get-involved/youth-programs-and-events/empower-youth"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power@dhhs.vic.gov.a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2945.dot</Template>
  <TotalTime>28</TotalTime>
  <Pages>5</Pages>
  <Words>1286</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Funding guidelines: Empower Youth initiative</vt:lpstr>
    </vt:vector>
  </TitlesOfParts>
  <Company>Department of Health and Human Services</Company>
  <LinksUpToDate>false</LinksUpToDate>
  <CharactersWithSpaces>9004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guidelines: Empower Youth initiative</dc:title>
  <dc:subject>Empower Youth grants</dc:subject>
  <dc:creator>Office for Youth</dc:creator>
  <cp:keywords>Empower; youth; grants; application; funding</cp:keywords>
  <cp:lastModifiedBy>Shirana Nash</cp:lastModifiedBy>
  <cp:revision>4</cp:revision>
  <cp:lastPrinted>2018-05-17T23:24:00Z</cp:lastPrinted>
  <dcterms:created xsi:type="dcterms:W3CDTF">2018-05-17T23:28:00Z</dcterms:created>
  <dcterms:modified xsi:type="dcterms:W3CDTF">2018-05-18T05:10:00Z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